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Default="00A045C3">
            <w:pPr>
              <w:pStyle w:val="Heading4"/>
              <w:rPr>
                <w:sz w:val="16"/>
              </w:rPr>
            </w:pPr>
            <w: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045C3" w:rsidRDefault="00A045C3">
            <w:pPr>
              <w:tabs>
                <w:tab w:val="left" w:pos="1170"/>
              </w:tabs>
              <w:spacing w:before="40" w:after="120"/>
              <w:rPr>
                <w:rFonts w:ascii="Arial" w:hAnsi="Arial"/>
                <w:b/>
                <w:sz w:val="22"/>
              </w:rPr>
            </w:pPr>
            <w:r>
              <w:rPr>
                <w:rFonts w:ascii="Arial" w:hAnsi="Arial"/>
                <w:b/>
                <w:sz w:val="24"/>
              </w:rPr>
              <w:t>Chair and Members</w:t>
            </w:r>
            <w:r w:rsidR="004E57D9">
              <w:rPr>
                <w:rFonts w:ascii="Arial" w:hAnsi="Arial"/>
                <w:b/>
                <w:sz w:val="24"/>
              </w:rPr>
              <w:t xml:space="preserve"> </w:t>
            </w:r>
            <w:r>
              <w:rPr>
                <w:rFonts w:ascii="Arial" w:hAnsi="Arial"/>
                <w:b/>
                <w:sz w:val="24"/>
              </w:rPr>
              <w:br/>
            </w:r>
            <w:r>
              <w:rPr>
                <w:rFonts w:ascii="Arial" w:hAnsi="Arial"/>
                <w:b/>
                <w:sz w:val="22"/>
              </w:rPr>
              <w:t>Department of Family and Protective Services Council</w:t>
            </w:r>
          </w:p>
        </w:tc>
        <w:tc>
          <w:tcPr>
            <w:tcW w:w="2070" w:type="dxa"/>
            <w:vMerge w:val="restart"/>
          </w:tcPr>
          <w:p w:rsidR="00A045C3" w:rsidRDefault="00350EC5">
            <w:pPr>
              <w:tabs>
                <w:tab w:val="left" w:pos="72"/>
              </w:tabs>
              <w:jc w:val="right"/>
              <w:rPr>
                <w:sz w:val="24"/>
              </w:rPr>
            </w:pPr>
            <w:r>
              <w:rPr>
                <w:noProof/>
                <w:sz w:val="24"/>
              </w:rPr>
              <w:drawing>
                <wp:inline distT="0" distB="0" distL="0" distR="0">
                  <wp:extent cx="119062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045C3" w:rsidRDefault="00A459FF">
            <w:pPr>
              <w:tabs>
                <w:tab w:val="left" w:pos="1170"/>
              </w:tabs>
              <w:spacing w:before="40" w:after="120"/>
              <w:rPr>
                <w:rFonts w:ascii="Arial" w:hAnsi="Arial"/>
                <w:b/>
                <w:sz w:val="24"/>
              </w:rPr>
            </w:pPr>
            <w:r>
              <w:rPr>
                <w:rFonts w:ascii="Arial" w:hAnsi="Arial"/>
                <w:b/>
                <w:sz w:val="24"/>
              </w:rPr>
              <w:t>John</w:t>
            </w:r>
            <w:r w:rsidR="008077E0">
              <w:rPr>
                <w:rFonts w:ascii="Arial" w:hAnsi="Arial"/>
                <w:b/>
                <w:sz w:val="24"/>
              </w:rPr>
              <w:t xml:space="preserve"> J.</w:t>
            </w:r>
            <w:r>
              <w:rPr>
                <w:rFonts w:ascii="Arial" w:hAnsi="Arial"/>
                <w:b/>
                <w:sz w:val="24"/>
              </w:rPr>
              <w:t xml:space="preserve"> Specia</w:t>
            </w:r>
            <w:r w:rsidR="00862575">
              <w:rPr>
                <w:rFonts w:ascii="Arial" w:hAnsi="Arial"/>
                <w:b/>
                <w:sz w:val="24"/>
              </w:rPr>
              <w:t>, Jr.</w:t>
            </w:r>
            <w:r w:rsidR="00A045C3">
              <w:rPr>
                <w:rFonts w:ascii="Arial" w:hAnsi="Arial"/>
                <w:b/>
                <w:sz w:val="24"/>
              </w:rPr>
              <w:br/>
              <w:t>Commissioner</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045C3" w:rsidRDefault="00A045C3" w:rsidP="00DA4A47">
            <w:pPr>
              <w:tabs>
                <w:tab w:val="left" w:pos="1170"/>
              </w:tabs>
              <w:spacing w:before="40" w:after="120"/>
              <w:rPr>
                <w:rFonts w:ascii="Arial" w:hAnsi="Arial"/>
                <w:b/>
                <w:sz w:val="24"/>
              </w:rPr>
            </w:pPr>
            <w:r>
              <w:rPr>
                <w:rFonts w:ascii="Arial" w:hAnsi="Arial"/>
                <w:b/>
                <w:sz w:val="24"/>
              </w:rPr>
              <w:t xml:space="preserve">Agenda Item </w:t>
            </w:r>
            <w:r w:rsidR="00572CD5">
              <w:rPr>
                <w:rFonts w:ascii="Arial" w:hAnsi="Arial"/>
                <w:b/>
                <w:sz w:val="24"/>
              </w:rPr>
              <w:t>5d</w:t>
            </w:r>
            <w:r>
              <w:rPr>
                <w:rFonts w:ascii="Arial" w:hAnsi="Arial"/>
                <w:b/>
                <w:sz w:val="24"/>
              </w:rPr>
              <w:t>: Recommendation to propose rule changes in 40 TAC</w:t>
            </w:r>
            <w:r w:rsidR="00954DD0">
              <w:rPr>
                <w:rFonts w:ascii="Arial" w:hAnsi="Arial"/>
                <w:b/>
                <w:sz w:val="24"/>
              </w:rPr>
              <w:t xml:space="preserve">, </w:t>
            </w:r>
            <w:r w:rsidR="00A459FF">
              <w:rPr>
                <w:rFonts w:ascii="Arial" w:hAnsi="Arial"/>
                <w:b/>
                <w:sz w:val="24"/>
              </w:rPr>
              <w:t>Chapter 745</w:t>
            </w:r>
            <w:r w:rsidR="007B3805">
              <w:rPr>
                <w:rFonts w:ascii="Arial" w:hAnsi="Arial"/>
                <w:b/>
                <w:sz w:val="24"/>
              </w:rPr>
              <w:t xml:space="preserve">, </w:t>
            </w:r>
            <w:r w:rsidR="00A459FF">
              <w:rPr>
                <w:rFonts w:ascii="Arial" w:hAnsi="Arial"/>
                <w:b/>
                <w:sz w:val="24"/>
              </w:rPr>
              <w:t>Licensing</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045C3" w:rsidRPr="000B37DE" w:rsidRDefault="00A459FF">
            <w:pPr>
              <w:tabs>
                <w:tab w:val="left" w:pos="1170"/>
              </w:tabs>
              <w:spacing w:before="40" w:after="120"/>
              <w:rPr>
                <w:rFonts w:ascii="Arial" w:hAnsi="Arial"/>
                <w:b/>
                <w:iCs/>
                <w:sz w:val="24"/>
              </w:rPr>
            </w:pPr>
            <w:r>
              <w:rPr>
                <w:rFonts w:ascii="Arial" w:hAnsi="Arial"/>
                <w:b/>
                <w:iCs/>
                <w:sz w:val="24"/>
              </w:rPr>
              <w:t>June 14</w:t>
            </w:r>
            <w:r w:rsidR="00D556D0" w:rsidRPr="000B37DE">
              <w:rPr>
                <w:rFonts w:ascii="Arial" w:hAnsi="Arial"/>
                <w:b/>
                <w:iCs/>
                <w:sz w:val="24"/>
              </w:rPr>
              <w:t>, 201</w:t>
            </w:r>
            <w:r>
              <w:rPr>
                <w:rFonts w:ascii="Arial" w:hAnsi="Arial"/>
                <w:b/>
                <w:iCs/>
                <w:sz w:val="24"/>
              </w:rPr>
              <w:t>3</w:t>
            </w:r>
          </w:p>
        </w:tc>
        <w:tc>
          <w:tcPr>
            <w:tcW w:w="2070" w:type="dxa"/>
            <w:vMerge/>
          </w:tcPr>
          <w:p w:rsidR="00A045C3" w:rsidRDefault="00A045C3">
            <w:pPr>
              <w:tabs>
                <w:tab w:val="left" w:pos="72"/>
              </w:tabs>
              <w:jc w:val="right"/>
              <w:rPr>
                <w:sz w:val="24"/>
              </w:rPr>
            </w:pPr>
          </w:p>
        </w:tc>
      </w:tr>
    </w:tbl>
    <w:p w:rsidR="00A045C3" w:rsidRDefault="00A045C3">
      <w:pPr>
        <w:rPr>
          <w:rFonts w:ascii="Arial" w:hAnsi="Arial" w:cs="Arial"/>
          <w:sz w:val="24"/>
        </w:rPr>
      </w:pPr>
    </w:p>
    <w:p w:rsidR="00EE277C" w:rsidRPr="00BF70A3" w:rsidRDefault="00A045C3" w:rsidP="00BF70A3">
      <w:pPr>
        <w:pStyle w:val="Header"/>
        <w:shd w:val="pct12" w:color="auto" w:fill="auto"/>
        <w:spacing w:after="60"/>
        <w:ind w:left="-86"/>
        <w:rPr>
          <w:rFonts w:ascii="Arial" w:hAnsi="Arial"/>
          <w:sz w:val="24"/>
        </w:rPr>
      </w:pPr>
      <w:r w:rsidRPr="00E11F2B">
        <w:rPr>
          <w:rFonts w:ascii="Arial" w:hAnsi="Arial"/>
          <w:sz w:val="24"/>
        </w:rPr>
        <w:t>BACKGROUND AND PURPOSE</w:t>
      </w:r>
    </w:p>
    <w:p w:rsidR="00256F7F" w:rsidRDefault="00256F7F" w:rsidP="00BA25D7">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sz w:val="24"/>
        </w:rPr>
      </w:pPr>
      <w:r>
        <w:rPr>
          <w:rFonts w:ascii="Arial" w:hAnsi="Arial" w:cs="Arial"/>
          <w:sz w:val="24"/>
        </w:rPr>
        <w:t xml:space="preserve">The Health and Human Services Commission proposes, on behalf of the Department of Family and Protective Services (DFPS), amendments to §§745.21, 745.8913, 745.8933, and 745.8951, and a new rule at § 745.8920, concerning administrator licensing, in its Licensing chapter. The purpose of the rule changes </w:t>
      </w:r>
      <w:r w:rsidR="00BA25D7">
        <w:rPr>
          <w:rFonts w:ascii="Arial" w:hAnsi="Arial" w:cs="Arial"/>
          <w:sz w:val="24"/>
        </w:rPr>
        <w:t>is</w:t>
      </w:r>
      <w:r>
        <w:rPr>
          <w:rFonts w:ascii="Arial" w:hAnsi="Arial" w:cs="Arial"/>
          <w:sz w:val="24"/>
        </w:rPr>
        <w:t xml:space="preserve"> to </w:t>
      </w:r>
      <w:r w:rsidRPr="004523F9">
        <w:rPr>
          <w:rFonts w:ascii="Arial" w:hAnsi="Arial" w:cs="Arial"/>
          <w:sz w:val="24"/>
        </w:rPr>
        <w:t xml:space="preserve">implement Senate Bill (SB) 1733 </w:t>
      </w:r>
      <w:r>
        <w:rPr>
          <w:rFonts w:ascii="Arial" w:hAnsi="Arial" w:cs="Arial"/>
          <w:sz w:val="24"/>
        </w:rPr>
        <w:t>and SB 162, enacted in</w:t>
      </w:r>
      <w:r w:rsidRPr="004523F9">
        <w:rPr>
          <w:rFonts w:ascii="Arial" w:hAnsi="Arial" w:cs="Arial"/>
          <w:sz w:val="24"/>
        </w:rPr>
        <w:t xml:space="preserve"> the 82nd </w:t>
      </w:r>
      <w:r>
        <w:rPr>
          <w:rFonts w:ascii="Arial" w:hAnsi="Arial" w:cs="Arial"/>
          <w:sz w:val="24"/>
        </w:rPr>
        <w:t>and 83</w:t>
      </w:r>
      <w:r w:rsidRPr="0090786A">
        <w:rPr>
          <w:rFonts w:ascii="Arial" w:hAnsi="Arial" w:cs="Arial"/>
          <w:sz w:val="24"/>
          <w:vertAlign w:val="superscript"/>
        </w:rPr>
        <w:t>rd</w:t>
      </w:r>
      <w:r>
        <w:rPr>
          <w:rFonts w:ascii="Arial" w:hAnsi="Arial" w:cs="Arial"/>
          <w:sz w:val="24"/>
        </w:rPr>
        <w:t xml:space="preserve"> Regular </w:t>
      </w:r>
      <w:r w:rsidRPr="004523F9">
        <w:rPr>
          <w:rFonts w:ascii="Arial" w:hAnsi="Arial" w:cs="Arial"/>
          <w:sz w:val="24"/>
        </w:rPr>
        <w:t>Legislat</w:t>
      </w:r>
      <w:r>
        <w:rPr>
          <w:rFonts w:ascii="Arial" w:hAnsi="Arial" w:cs="Arial"/>
          <w:sz w:val="24"/>
        </w:rPr>
        <w:t>ive Sessions, respectively</w:t>
      </w:r>
      <w:r w:rsidRPr="004523F9">
        <w:rPr>
          <w:rFonts w:ascii="Arial" w:hAnsi="Arial" w:cs="Arial"/>
          <w:sz w:val="24"/>
        </w:rPr>
        <w:t>. Both bills amend</w:t>
      </w:r>
      <w:r>
        <w:rPr>
          <w:rFonts w:ascii="Arial" w:hAnsi="Arial" w:cs="Arial"/>
          <w:sz w:val="24"/>
        </w:rPr>
        <w:t>ed</w:t>
      </w:r>
      <w:r w:rsidRPr="004523F9">
        <w:rPr>
          <w:rFonts w:ascii="Arial" w:hAnsi="Arial" w:cs="Arial"/>
          <w:sz w:val="24"/>
        </w:rPr>
        <w:t xml:space="preserve"> Chapter 55, Texas Occupations Code</w:t>
      </w:r>
      <w:r>
        <w:rPr>
          <w:rFonts w:ascii="Arial" w:hAnsi="Arial" w:cs="Arial"/>
          <w:sz w:val="24"/>
        </w:rPr>
        <w:t>,</w:t>
      </w:r>
      <w:r w:rsidRPr="004523F9">
        <w:rPr>
          <w:rFonts w:ascii="Arial" w:hAnsi="Arial" w:cs="Arial"/>
          <w:sz w:val="24"/>
        </w:rPr>
        <w:t xml:space="preserve"> and require administrative rule changes that allow special considerations for military service members, military spouses, and military veterans who apply for a license that an individual must have to participate in a particular business. DFPS issues</w:t>
      </w:r>
      <w:r>
        <w:rPr>
          <w:rFonts w:ascii="Arial" w:hAnsi="Arial" w:cs="Arial"/>
          <w:sz w:val="24"/>
        </w:rPr>
        <w:t xml:space="preserve"> a child-placing agency </w:t>
      </w:r>
      <w:r w:rsidRPr="004523F9">
        <w:rPr>
          <w:rFonts w:ascii="Arial" w:hAnsi="Arial" w:cs="Arial"/>
          <w:sz w:val="24"/>
        </w:rPr>
        <w:t xml:space="preserve">administrator’s license </w:t>
      </w:r>
      <w:r>
        <w:rPr>
          <w:rFonts w:ascii="Arial" w:hAnsi="Arial" w:cs="Arial"/>
          <w:sz w:val="24"/>
        </w:rPr>
        <w:t xml:space="preserve">and a child care administrator’s license </w:t>
      </w:r>
      <w:r w:rsidRPr="004523F9">
        <w:rPr>
          <w:rFonts w:ascii="Arial" w:hAnsi="Arial" w:cs="Arial"/>
          <w:sz w:val="24"/>
        </w:rPr>
        <w:t xml:space="preserve">that </w:t>
      </w:r>
      <w:r>
        <w:rPr>
          <w:rFonts w:ascii="Arial" w:hAnsi="Arial" w:cs="Arial"/>
          <w:sz w:val="24"/>
        </w:rPr>
        <w:t>are subject to</w:t>
      </w:r>
      <w:r w:rsidRPr="004523F9">
        <w:rPr>
          <w:rFonts w:ascii="Arial" w:hAnsi="Arial" w:cs="Arial"/>
          <w:sz w:val="24"/>
        </w:rPr>
        <w:t xml:space="preserve"> the provisions of Chapter 55, Occupations Code.</w:t>
      </w:r>
    </w:p>
    <w:p w:rsidR="004E01F1" w:rsidRDefault="004E01F1" w:rsidP="00BA25D7">
      <w:pPr>
        <w:pStyle w:val="BodyText"/>
        <w:tabs>
          <w:tab w:val="left" w:pos="-90"/>
        </w:tabs>
        <w:ind w:left="-90"/>
      </w:pPr>
    </w:p>
    <w:p w:rsidR="00256F7F" w:rsidRDefault="00256F7F" w:rsidP="00BA25D7">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sz w:val="24"/>
        </w:rPr>
      </w:pPr>
      <w:r w:rsidRPr="004523F9">
        <w:rPr>
          <w:rFonts w:ascii="Arial" w:hAnsi="Arial" w:cs="Arial"/>
          <w:sz w:val="24"/>
        </w:rPr>
        <w:t xml:space="preserve">SB 1733 </w:t>
      </w:r>
      <w:r>
        <w:rPr>
          <w:rFonts w:ascii="Arial" w:hAnsi="Arial" w:cs="Arial"/>
          <w:sz w:val="24"/>
        </w:rPr>
        <w:t>enacted</w:t>
      </w:r>
      <w:r w:rsidRPr="004523F9">
        <w:rPr>
          <w:rFonts w:ascii="Arial" w:hAnsi="Arial" w:cs="Arial"/>
          <w:sz w:val="24"/>
        </w:rPr>
        <w:t xml:space="preserve"> Occupations Code §55.004, which requires DFPS to adopt rules </w:t>
      </w:r>
      <w:r>
        <w:rPr>
          <w:rFonts w:ascii="Arial" w:hAnsi="Arial" w:cs="Arial"/>
          <w:sz w:val="24"/>
        </w:rPr>
        <w:t>concerning</w:t>
      </w:r>
      <w:r w:rsidRPr="004523F9">
        <w:rPr>
          <w:rFonts w:ascii="Arial" w:hAnsi="Arial" w:cs="Arial"/>
          <w:sz w:val="24"/>
        </w:rPr>
        <w:t xml:space="preserve"> the issuance of an administrator’s license to a military spouse who applies for </w:t>
      </w:r>
      <w:r>
        <w:rPr>
          <w:rFonts w:ascii="Arial" w:hAnsi="Arial" w:cs="Arial"/>
          <w:sz w:val="24"/>
        </w:rPr>
        <w:t>a</w:t>
      </w:r>
      <w:r w:rsidRPr="004523F9">
        <w:rPr>
          <w:rFonts w:ascii="Arial" w:hAnsi="Arial" w:cs="Arial"/>
          <w:sz w:val="24"/>
        </w:rPr>
        <w:t xml:space="preserve"> license and either:</w:t>
      </w:r>
      <w:r>
        <w:rPr>
          <w:rFonts w:ascii="Arial" w:hAnsi="Arial" w:cs="Arial"/>
          <w:sz w:val="24"/>
        </w:rPr>
        <w:t xml:space="preserve"> (1) </w:t>
      </w:r>
      <w:r w:rsidRPr="004523F9">
        <w:rPr>
          <w:rFonts w:ascii="Arial" w:hAnsi="Arial" w:cs="Arial"/>
          <w:sz w:val="24"/>
        </w:rPr>
        <w:t>holds a current administrator’s license in another state that has licensing requirements substantially equivalent to those in Texas; or</w:t>
      </w:r>
      <w:r>
        <w:rPr>
          <w:rFonts w:ascii="Arial" w:hAnsi="Arial" w:cs="Arial"/>
          <w:sz w:val="24"/>
        </w:rPr>
        <w:t xml:space="preserve"> (2) </w:t>
      </w:r>
      <w:r w:rsidRPr="004523F9">
        <w:rPr>
          <w:rFonts w:ascii="Arial" w:hAnsi="Arial" w:cs="Arial"/>
          <w:sz w:val="24"/>
        </w:rPr>
        <w:t>held an administrator’s license in Texas within five years of the application date</w:t>
      </w:r>
      <w:r>
        <w:rPr>
          <w:rFonts w:ascii="Arial" w:hAnsi="Arial" w:cs="Arial"/>
          <w:sz w:val="24"/>
        </w:rPr>
        <w:t xml:space="preserve"> that</w:t>
      </w:r>
      <w:r w:rsidRPr="004523F9">
        <w:rPr>
          <w:rFonts w:ascii="Arial" w:hAnsi="Arial" w:cs="Arial"/>
          <w:sz w:val="24"/>
        </w:rPr>
        <w:t xml:space="preserve"> expired while the military spouse lived in another state for at least six months. </w:t>
      </w:r>
      <w:r>
        <w:rPr>
          <w:rFonts w:ascii="Arial" w:hAnsi="Arial" w:cs="Arial"/>
          <w:sz w:val="24"/>
        </w:rPr>
        <w:t>Such</w:t>
      </w:r>
      <w:r w:rsidRPr="004523F9">
        <w:rPr>
          <w:rFonts w:ascii="Arial" w:hAnsi="Arial" w:cs="Arial"/>
          <w:sz w:val="24"/>
        </w:rPr>
        <w:t xml:space="preserve"> rules </w:t>
      </w:r>
      <w:r>
        <w:rPr>
          <w:rFonts w:ascii="Arial" w:hAnsi="Arial" w:cs="Arial"/>
          <w:sz w:val="24"/>
        </w:rPr>
        <w:t>must</w:t>
      </w:r>
      <w:r w:rsidRPr="004523F9">
        <w:rPr>
          <w:rFonts w:ascii="Arial" w:hAnsi="Arial" w:cs="Arial"/>
          <w:sz w:val="24"/>
        </w:rPr>
        <w:t xml:space="preserve"> allow for alternative demonstrations of competency by military spouses in order to meet requirements for an administrator’s license. </w:t>
      </w:r>
    </w:p>
    <w:p w:rsidR="00CF0374" w:rsidRDefault="00256F7F" w:rsidP="00BA25D7">
      <w:pPr>
        <w:pStyle w:val="BodyText"/>
        <w:tabs>
          <w:tab w:val="left" w:pos="-90"/>
        </w:tabs>
        <w:ind w:left="-90"/>
      </w:pPr>
      <w:r>
        <w:tab/>
      </w:r>
    </w:p>
    <w:p w:rsidR="005F3FE1" w:rsidRPr="00CF0374" w:rsidRDefault="00256F7F" w:rsidP="00BA25D7">
      <w:pPr>
        <w:pStyle w:val="BodyText"/>
        <w:tabs>
          <w:tab w:val="left" w:pos="-90"/>
        </w:tabs>
        <w:ind w:left="-90"/>
        <w:rPr>
          <w:i w:val="0"/>
        </w:rPr>
      </w:pPr>
      <w:r w:rsidRPr="00CF0374">
        <w:rPr>
          <w:i w:val="0"/>
        </w:rPr>
        <w:t>SB 162 further amended Chapter 55, Occupations Code by: (1) adding definitions of “military spouse,” “military service member,” and “military veteran” in §55.001(1-a), (1-b), and (1-c); (2) requiring an expedited application and licensing process for a military spouse as provided by §55.005; and (3) requiring that verified military service, training, or education be credited toward the licensing requirements for an applicant who is a military service member or military veteran, subject to certain exceptions, as provided by §55.007</w:t>
      </w:r>
      <w:r w:rsidR="005F3FE1" w:rsidRPr="00CF0374">
        <w:rPr>
          <w:rStyle w:val="PRSLTTRTOP"/>
          <w:i w:val="0"/>
        </w:rPr>
        <w:t>.</w:t>
      </w:r>
    </w:p>
    <w:p w:rsidR="004B67C7" w:rsidRPr="00CF0374" w:rsidRDefault="004B67C7" w:rsidP="00BA25D7">
      <w:pPr>
        <w:pStyle w:val="BodyText"/>
        <w:tabs>
          <w:tab w:val="left" w:pos="-90"/>
        </w:tabs>
        <w:ind w:left="-90"/>
        <w:rPr>
          <w:i w:val="0"/>
        </w:rPr>
      </w:pPr>
    </w:p>
    <w:p w:rsidR="007F4864" w:rsidRPr="00CF0374" w:rsidRDefault="00C061B3" w:rsidP="00BA25D7">
      <w:pPr>
        <w:pStyle w:val="BodyText"/>
        <w:tabs>
          <w:tab w:val="left" w:pos="-90"/>
        </w:tabs>
        <w:ind w:left="-90"/>
        <w:rPr>
          <w:rStyle w:val="PRSLTTRTOP"/>
          <w:i w:val="0"/>
        </w:rPr>
      </w:pPr>
      <w:r w:rsidRPr="00CF0374">
        <w:rPr>
          <w:i w:val="0"/>
        </w:rPr>
        <w:t xml:space="preserve">While rule proposals were being drafted for the recent legislation that was passed, CCL noticed some corrections and clarifications that were needed to one division title and one rule to be consistent with Chapter 43, HRC. </w:t>
      </w:r>
      <w:r w:rsidR="00EA2D7F" w:rsidRPr="00CF0374">
        <w:rPr>
          <w:i w:val="0"/>
        </w:rPr>
        <w:t xml:space="preserve">The title of </w:t>
      </w:r>
      <w:r w:rsidR="003A6791" w:rsidRPr="00CF0374">
        <w:rPr>
          <w:i w:val="0"/>
        </w:rPr>
        <w:t xml:space="preserve">Division 1 of TAC Chapter 745, </w:t>
      </w:r>
      <w:r w:rsidR="003A6791" w:rsidRPr="00CF0374">
        <w:rPr>
          <w:i w:val="0"/>
        </w:rPr>
        <w:lastRenderedPageBreak/>
        <w:t>Subchapter N (A</w:t>
      </w:r>
      <w:r w:rsidR="00D41D64" w:rsidRPr="00CF0374">
        <w:rPr>
          <w:i w:val="0"/>
        </w:rPr>
        <w:t xml:space="preserve">dministrator Licensing) </w:t>
      </w:r>
      <w:r w:rsidR="00EA2D7F" w:rsidRPr="00CF0374">
        <w:rPr>
          <w:i w:val="0"/>
        </w:rPr>
        <w:t>is amended to clarify that</w:t>
      </w:r>
      <w:r w:rsidR="003A6791" w:rsidRPr="00CF0374">
        <w:rPr>
          <w:i w:val="0"/>
        </w:rPr>
        <w:t xml:space="preserve"> it applies to both child-care administrators and child-placing agency administrators.  </w:t>
      </w:r>
      <w:r w:rsidR="00BE1549" w:rsidRPr="00CF0374">
        <w:rPr>
          <w:i w:val="0"/>
        </w:rPr>
        <w:t xml:space="preserve">Section </w:t>
      </w:r>
      <w:r w:rsidR="003A6791" w:rsidRPr="00CF0374">
        <w:rPr>
          <w:rStyle w:val="PRSLTTRTOP"/>
          <w:i w:val="0"/>
        </w:rPr>
        <w:t>745</w:t>
      </w:r>
      <w:r w:rsidR="00D41D64" w:rsidRPr="00CF0374">
        <w:rPr>
          <w:rStyle w:val="PRSLTTRTOP"/>
          <w:i w:val="0"/>
        </w:rPr>
        <w:t xml:space="preserve">.8913 </w:t>
      </w:r>
      <w:r w:rsidR="00EA2D7F" w:rsidRPr="00CF0374">
        <w:rPr>
          <w:rStyle w:val="PRSLTTRTOP"/>
          <w:i w:val="0"/>
        </w:rPr>
        <w:t xml:space="preserve">is amended to clarify </w:t>
      </w:r>
      <w:r w:rsidR="006A667A" w:rsidRPr="00CF0374">
        <w:rPr>
          <w:rStyle w:val="PRSLTTRTOP"/>
          <w:i w:val="0"/>
        </w:rPr>
        <w:t>that CCL</w:t>
      </w:r>
      <w:r w:rsidR="003A6791" w:rsidRPr="00CF0374">
        <w:rPr>
          <w:rStyle w:val="PRSLTTRTOP"/>
          <w:i w:val="0"/>
        </w:rPr>
        <w:t xml:space="preserve"> may</w:t>
      </w:r>
      <w:r w:rsidR="007F4864" w:rsidRPr="00CF0374">
        <w:rPr>
          <w:rStyle w:val="PRSLTTRTOP"/>
          <w:i w:val="0"/>
        </w:rPr>
        <w:t>:</w:t>
      </w:r>
    </w:p>
    <w:p w:rsidR="007F4864" w:rsidRPr="00CF0374" w:rsidRDefault="003A6791" w:rsidP="00CF0374">
      <w:pPr>
        <w:pStyle w:val="BodyText"/>
        <w:numPr>
          <w:ilvl w:val="0"/>
          <w:numId w:val="2"/>
        </w:numPr>
        <w:rPr>
          <w:rStyle w:val="PRSLTTRTOP"/>
          <w:i w:val="0"/>
        </w:rPr>
      </w:pPr>
      <w:r w:rsidRPr="00CF0374">
        <w:rPr>
          <w:rStyle w:val="PRSLTTRTOP"/>
          <w:i w:val="0"/>
        </w:rPr>
        <w:t xml:space="preserve">waive any prerequisite to getting an administrator’s license (in accordance with </w:t>
      </w:r>
      <w:r w:rsidR="000A61F6" w:rsidRPr="00CF0374">
        <w:rPr>
          <w:rStyle w:val="PRSLTTRTOP"/>
          <w:i w:val="0"/>
        </w:rPr>
        <w:t>HRC</w:t>
      </w:r>
      <w:r w:rsidRPr="00CF0374">
        <w:rPr>
          <w:rStyle w:val="PRSLTTRTOP"/>
          <w:i w:val="0"/>
        </w:rPr>
        <w:t xml:space="preserve"> </w:t>
      </w:r>
      <w:r w:rsidR="002D5FED" w:rsidRPr="00CF0374">
        <w:rPr>
          <w:rStyle w:val="PRSLTTRTOP"/>
          <w:i w:val="0"/>
        </w:rPr>
        <w:t>§</w:t>
      </w:r>
      <w:r w:rsidRPr="00CF0374">
        <w:rPr>
          <w:rStyle w:val="PRSLTTRTOP"/>
          <w:i w:val="0"/>
        </w:rPr>
        <w:t>43.0042)</w:t>
      </w:r>
      <w:r w:rsidR="00256F7F" w:rsidRPr="00CF0374">
        <w:rPr>
          <w:rStyle w:val="PRSLTTRTOP"/>
          <w:i w:val="0"/>
        </w:rPr>
        <w:t xml:space="preserve"> for a person (including a military spouse) who currently holds and a valid administrator’s license in another state</w:t>
      </w:r>
      <w:r w:rsidR="007F4864" w:rsidRPr="00CF0374">
        <w:rPr>
          <w:rStyle w:val="PRSLTTRTOP"/>
          <w:i w:val="0"/>
        </w:rPr>
        <w:t>;</w:t>
      </w:r>
      <w:r w:rsidRPr="00CF0374">
        <w:rPr>
          <w:rStyle w:val="PRSLTTRTOP"/>
          <w:i w:val="0"/>
        </w:rPr>
        <w:t xml:space="preserve"> and</w:t>
      </w:r>
    </w:p>
    <w:p w:rsidR="006C214E" w:rsidRPr="00CF0374" w:rsidRDefault="007F4864" w:rsidP="00CF0374">
      <w:pPr>
        <w:pStyle w:val="BodyText"/>
        <w:numPr>
          <w:ilvl w:val="0"/>
          <w:numId w:val="2"/>
        </w:numPr>
        <w:rPr>
          <w:i w:val="0"/>
        </w:rPr>
      </w:pPr>
      <w:r w:rsidRPr="00CF0374">
        <w:rPr>
          <w:rStyle w:val="PRSLTTRTOP"/>
          <w:i w:val="0"/>
        </w:rPr>
        <w:t>issue a provisional license to an applicant for a chil</w:t>
      </w:r>
      <w:r w:rsidR="00256F7F" w:rsidRPr="00CF0374">
        <w:rPr>
          <w:rStyle w:val="PRSLTTRTOP"/>
          <w:i w:val="0"/>
        </w:rPr>
        <w:t xml:space="preserve">d-care administrator’s license, </w:t>
      </w:r>
      <w:r w:rsidRPr="00CF0374">
        <w:rPr>
          <w:rStyle w:val="PRSLTTRTOP"/>
          <w:i w:val="0"/>
        </w:rPr>
        <w:t xml:space="preserve">in accordance with </w:t>
      </w:r>
      <w:r w:rsidR="000A61F6" w:rsidRPr="00CF0374">
        <w:rPr>
          <w:rStyle w:val="PRSLTTRTOP"/>
          <w:i w:val="0"/>
        </w:rPr>
        <w:t>HRC</w:t>
      </w:r>
      <w:r w:rsidRPr="00CF0374">
        <w:rPr>
          <w:rStyle w:val="PRSLTTRTOP"/>
          <w:i w:val="0"/>
        </w:rPr>
        <w:t xml:space="preserve"> </w:t>
      </w:r>
      <w:r w:rsidR="002D5FED" w:rsidRPr="00CF0374">
        <w:rPr>
          <w:rStyle w:val="PRSLTTRTOP"/>
          <w:i w:val="0"/>
        </w:rPr>
        <w:t>§</w:t>
      </w:r>
      <w:r w:rsidRPr="00CF0374">
        <w:rPr>
          <w:rStyle w:val="PRSLTTRTOP"/>
          <w:i w:val="0"/>
        </w:rPr>
        <w:t>43.0081).</w:t>
      </w:r>
      <w:r w:rsidR="003A6791" w:rsidRPr="00CF0374">
        <w:rPr>
          <w:rStyle w:val="PRSLTTRTOP"/>
          <w:i w:val="0"/>
        </w:rPr>
        <w:t xml:space="preserve"> </w:t>
      </w:r>
    </w:p>
    <w:p w:rsidR="004E6679" w:rsidRDefault="004E6679" w:rsidP="00CF0374">
      <w:pPr>
        <w:pStyle w:val="BodyText"/>
      </w:pPr>
    </w:p>
    <w:p w:rsidR="00E33289" w:rsidRPr="00BF70A3" w:rsidRDefault="004E6679" w:rsidP="00BF70A3">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DETAILED SECTION ANALYSIS AND DISPOSITION TABLE</w:t>
      </w:r>
    </w:p>
    <w:tbl>
      <w:tblPr>
        <w:tblW w:w="535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1802"/>
        <w:gridCol w:w="1443"/>
        <w:gridCol w:w="7030"/>
      </w:tblGrid>
      <w:tr w:rsidR="00BF70A3" w:rsidRPr="00F25906" w:rsidTr="00CF0374">
        <w:trPr>
          <w:trHeight w:val="809"/>
          <w:tblHeader/>
        </w:trPr>
        <w:tc>
          <w:tcPr>
            <w:tcW w:w="877" w:type="pct"/>
            <w:shd w:val="clear" w:color="auto" w:fill="auto"/>
          </w:tcPr>
          <w:p w:rsidR="00CD1612" w:rsidRPr="00DA4A47" w:rsidRDefault="00FE6C5C" w:rsidP="00DA4A47">
            <w:pPr>
              <w:pStyle w:val="BodyText1"/>
              <w:rPr>
                <w:sz w:val="22"/>
                <w:szCs w:val="22"/>
              </w:rPr>
            </w:pPr>
            <w:r w:rsidRPr="00DA4A47">
              <w:rPr>
                <w:rStyle w:val="PRSLTTRTOP"/>
                <w:b/>
                <w:bCs/>
                <w:sz w:val="22"/>
                <w:szCs w:val="22"/>
              </w:rPr>
              <w:t xml:space="preserve">Current Rule </w:t>
            </w:r>
            <w:r w:rsidR="00CD1612" w:rsidRPr="00DA4A47">
              <w:rPr>
                <w:rStyle w:val="PRSLTTRTOP"/>
                <w:b/>
                <w:bCs/>
                <w:sz w:val="22"/>
                <w:szCs w:val="22"/>
              </w:rPr>
              <w:t>Sections</w:t>
            </w:r>
          </w:p>
        </w:tc>
        <w:tc>
          <w:tcPr>
            <w:tcW w:w="702" w:type="pct"/>
            <w:shd w:val="clear" w:color="auto" w:fill="auto"/>
          </w:tcPr>
          <w:p w:rsidR="00CD1612" w:rsidRPr="00DA4A47" w:rsidRDefault="00FE6C5C" w:rsidP="00DA4A47">
            <w:pPr>
              <w:pStyle w:val="BodyText1"/>
              <w:rPr>
                <w:sz w:val="22"/>
                <w:szCs w:val="22"/>
              </w:rPr>
            </w:pPr>
            <w:r w:rsidRPr="00DA4A47">
              <w:rPr>
                <w:rStyle w:val="PRSLTTRTOP"/>
                <w:b/>
                <w:bCs/>
                <w:sz w:val="22"/>
                <w:szCs w:val="22"/>
              </w:rPr>
              <w:t xml:space="preserve">Proposed </w:t>
            </w:r>
            <w:r w:rsidR="00CD1612" w:rsidRPr="00DA4A47">
              <w:rPr>
                <w:rStyle w:val="PRSLTTRTOP"/>
                <w:b/>
                <w:bCs/>
                <w:sz w:val="22"/>
                <w:szCs w:val="22"/>
              </w:rPr>
              <w:t>Action</w:t>
            </w:r>
            <w:r w:rsidR="00862575" w:rsidRPr="00DA4A47">
              <w:rPr>
                <w:rStyle w:val="PRSLTTRTOP"/>
                <w:b/>
                <w:bCs/>
                <w:sz w:val="22"/>
                <w:szCs w:val="22"/>
              </w:rPr>
              <w:t>; New Rule Section</w:t>
            </w:r>
          </w:p>
        </w:tc>
        <w:tc>
          <w:tcPr>
            <w:tcW w:w="3421" w:type="pct"/>
            <w:shd w:val="clear" w:color="auto" w:fill="auto"/>
          </w:tcPr>
          <w:p w:rsidR="00BF70A3" w:rsidRPr="00DA4A47" w:rsidRDefault="00BF70A3" w:rsidP="00DA4A47">
            <w:pPr>
              <w:pStyle w:val="BodyText1"/>
              <w:rPr>
                <w:rStyle w:val="PRSLTTRTOP"/>
                <w:b/>
                <w:bCs/>
                <w:sz w:val="22"/>
                <w:szCs w:val="22"/>
              </w:rPr>
            </w:pPr>
          </w:p>
          <w:p w:rsidR="00CD1612" w:rsidRPr="00DA4A47" w:rsidRDefault="00CD1612" w:rsidP="00DA4A47">
            <w:pPr>
              <w:pStyle w:val="BodyText1"/>
              <w:rPr>
                <w:sz w:val="22"/>
                <w:szCs w:val="22"/>
              </w:rPr>
            </w:pPr>
            <w:r w:rsidRPr="00DA4A47">
              <w:rPr>
                <w:rStyle w:val="PRSLTTRTOP"/>
                <w:b/>
                <w:bCs/>
                <w:sz w:val="22"/>
                <w:szCs w:val="22"/>
              </w:rPr>
              <w:t>Summary Explanation of Proposed Action</w:t>
            </w:r>
          </w:p>
        </w:tc>
      </w:tr>
      <w:tr w:rsidR="00BF70A3" w:rsidRPr="00F25906" w:rsidTr="00CF0374">
        <w:trPr>
          <w:trHeight w:val="539"/>
        </w:trPr>
        <w:tc>
          <w:tcPr>
            <w:tcW w:w="877" w:type="pct"/>
            <w:shd w:val="clear" w:color="auto" w:fill="auto"/>
          </w:tcPr>
          <w:p w:rsidR="00601E10" w:rsidRPr="00DA4A47" w:rsidRDefault="0053356E" w:rsidP="00BE1549">
            <w:pPr>
              <w:spacing w:after="60"/>
              <w:rPr>
                <w:rStyle w:val="PRSLTTRTOP"/>
                <w:rFonts w:ascii="Arial" w:hAnsi="Arial" w:cs="Arial"/>
                <w:spacing w:val="-3"/>
                <w:sz w:val="22"/>
                <w:szCs w:val="22"/>
              </w:rPr>
            </w:pPr>
            <w:r w:rsidRPr="00DA4A47">
              <w:rPr>
                <w:rStyle w:val="PRSLTTRTOP"/>
                <w:rFonts w:ascii="Arial" w:hAnsi="Arial" w:cs="Arial"/>
                <w:spacing w:val="-3"/>
                <w:sz w:val="22"/>
                <w:szCs w:val="22"/>
              </w:rPr>
              <w:t>§745</w:t>
            </w:r>
            <w:r w:rsidR="00601E10" w:rsidRPr="00DA4A47">
              <w:rPr>
                <w:rStyle w:val="PRSLTTRTOP"/>
                <w:rFonts w:ascii="Arial" w:hAnsi="Arial" w:cs="Arial"/>
                <w:spacing w:val="-3"/>
                <w:sz w:val="22"/>
                <w:szCs w:val="22"/>
              </w:rPr>
              <w:t>.</w:t>
            </w:r>
            <w:r w:rsidRPr="00DA4A47">
              <w:rPr>
                <w:rStyle w:val="PRSLTTRTOP"/>
                <w:rFonts w:ascii="Arial" w:hAnsi="Arial" w:cs="Arial"/>
                <w:spacing w:val="-3"/>
                <w:sz w:val="22"/>
                <w:szCs w:val="22"/>
              </w:rPr>
              <w:t>21</w:t>
            </w:r>
          </w:p>
        </w:tc>
        <w:tc>
          <w:tcPr>
            <w:tcW w:w="702" w:type="pct"/>
            <w:shd w:val="clear" w:color="auto" w:fill="auto"/>
          </w:tcPr>
          <w:p w:rsidR="00601E10" w:rsidRPr="00DA4A47" w:rsidRDefault="00601E10" w:rsidP="00F779EC">
            <w:pPr>
              <w:spacing w:after="60"/>
              <w:jc w:val="center"/>
              <w:rPr>
                <w:rStyle w:val="PRSLTTRTOP"/>
                <w:rFonts w:ascii="Arial" w:hAnsi="Arial" w:cs="Arial"/>
                <w:spacing w:val="-3"/>
                <w:sz w:val="22"/>
                <w:szCs w:val="22"/>
              </w:rPr>
            </w:pPr>
            <w:r w:rsidRPr="00DA4A47">
              <w:rPr>
                <w:rStyle w:val="PRSLTTRTOP"/>
                <w:rFonts w:ascii="Arial" w:hAnsi="Arial" w:cs="Arial"/>
                <w:spacing w:val="-3"/>
                <w:sz w:val="22"/>
                <w:szCs w:val="22"/>
              </w:rPr>
              <w:t>Amend</w:t>
            </w:r>
          </w:p>
        </w:tc>
        <w:tc>
          <w:tcPr>
            <w:tcW w:w="3421" w:type="pct"/>
            <w:shd w:val="clear" w:color="auto" w:fill="auto"/>
          </w:tcPr>
          <w:p w:rsidR="00601E10" w:rsidRPr="00DA4A47" w:rsidDel="003F2F33" w:rsidRDefault="00601E10" w:rsidP="00DA4A47">
            <w:pPr>
              <w:spacing w:after="60"/>
              <w:rPr>
                <w:rStyle w:val="PRSLTTRTOP"/>
                <w:rFonts w:ascii="Arial" w:hAnsi="Arial" w:cs="Arial"/>
                <w:spacing w:val="-3"/>
                <w:sz w:val="22"/>
                <w:szCs w:val="22"/>
              </w:rPr>
            </w:pPr>
            <w:r w:rsidRPr="00DA4A47">
              <w:rPr>
                <w:rStyle w:val="PRSLTTRTOP"/>
                <w:rFonts w:ascii="Arial" w:hAnsi="Arial" w:cs="Arial"/>
                <w:spacing w:val="-3"/>
                <w:sz w:val="22"/>
                <w:szCs w:val="22"/>
              </w:rPr>
              <w:t>Amends the rule to</w:t>
            </w:r>
            <w:r w:rsidR="001B2239" w:rsidRPr="00DA4A47">
              <w:rPr>
                <w:rStyle w:val="PRSLTTRTOP"/>
                <w:rFonts w:ascii="Arial" w:hAnsi="Arial" w:cs="Arial"/>
                <w:spacing w:val="-3"/>
                <w:sz w:val="22"/>
                <w:szCs w:val="22"/>
              </w:rPr>
              <w:t xml:space="preserve"> include definitions of a “military service member,” “military spouse,” and “military veteran” </w:t>
            </w:r>
            <w:r w:rsidR="00BF4B0C" w:rsidRPr="00DA4A47">
              <w:rPr>
                <w:rStyle w:val="PRSLTTRTOP"/>
                <w:rFonts w:ascii="Arial" w:hAnsi="Arial" w:cs="Arial"/>
                <w:spacing w:val="-3"/>
                <w:sz w:val="22"/>
                <w:szCs w:val="22"/>
              </w:rPr>
              <w:t>in accordance</w:t>
            </w:r>
            <w:r w:rsidR="002D5FED" w:rsidRPr="00DA4A47">
              <w:rPr>
                <w:rStyle w:val="PRSLTTRTOP"/>
                <w:rFonts w:ascii="Arial" w:hAnsi="Arial" w:cs="Arial"/>
                <w:spacing w:val="-3"/>
                <w:sz w:val="22"/>
                <w:szCs w:val="22"/>
              </w:rPr>
              <w:t xml:space="preserve"> with</w:t>
            </w:r>
            <w:r w:rsidR="008D523B" w:rsidRPr="00DA4A47">
              <w:rPr>
                <w:rStyle w:val="PRSLTTRTOP"/>
                <w:rFonts w:ascii="Arial" w:hAnsi="Arial" w:cs="Arial"/>
                <w:spacing w:val="-3"/>
                <w:sz w:val="22"/>
                <w:szCs w:val="22"/>
              </w:rPr>
              <w:t xml:space="preserve"> Occupations Code §55.001(1-a), (1-b), and (1-c</w:t>
            </w:r>
            <w:r w:rsidR="00E92667" w:rsidRPr="00DA4A47">
              <w:rPr>
                <w:rStyle w:val="PRSLTTRTOP"/>
                <w:rFonts w:ascii="Arial" w:hAnsi="Arial" w:cs="Arial"/>
                <w:spacing w:val="-3"/>
                <w:sz w:val="22"/>
                <w:szCs w:val="22"/>
              </w:rPr>
              <w:t>).</w:t>
            </w:r>
          </w:p>
        </w:tc>
      </w:tr>
      <w:tr w:rsidR="00BF70A3" w:rsidRPr="00F25906" w:rsidTr="00CF0374">
        <w:trPr>
          <w:trHeight w:val="521"/>
        </w:trPr>
        <w:tc>
          <w:tcPr>
            <w:tcW w:w="877" w:type="pct"/>
            <w:shd w:val="clear" w:color="auto" w:fill="auto"/>
          </w:tcPr>
          <w:p w:rsidR="00601E10" w:rsidRPr="00DA4A47" w:rsidRDefault="0053356E" w:rsidP="00DA4A47">
            <w:pPr>
              <w:pStyle w:val="BodyText1"/>
              <w:rPr>
                <w:rStyle w:val="PRSLTTRTOP"/>
                <w:iCs w:val="0"/>
                <w:spacing w:val="0"/>
                <w:sz w:val="22"/>
                <w:szCs w:val="22"/>
              </w:rPr>
            </w:pPr>
            <w:r w:rsidRPr="00DA4A47">
              <w:rPr>
                <w:rStyle w:val="PRSLTTRTOP"/>
                <w:sz w:val="22"/>
                <w:szCs w:val="22"/>
              </w:rPr>
              <w:t>§745.8913</w:t>
            </w:r>
          </w:p>
          <w:p w:rsidR="00601E10" w:rsidRPr="00DA4A47" w:rsidRDefault="00601E10" w:rsidP="00DA4A47">
            <w:pPr>
              <w:pStyle w:val="BodyText1"/>
              <w:rPr>
                <w:rStyle w:val="PRSLTTRTOP"/>
                <w:iCs w:val="0"/>
                <w:spacing w:val="0"/>
                <w:sz w:val="22"/>
                <w:szCs w:val="22"/>
              </w:rPr>
            </w:pPr>
          </w:p>
        </w:tc>
        <w:tc>
          <w:tcPr>
            <w:tcW w:w="702" w:type="pct"/>
            <w:shd w:val="clear" w:color="auto" w:fill="auto"/>
          </w:tcPr>
          <w:p w:rsidR="00601E10" w:rsidRPr="00DA4A47" w:rsidRDefault="0053356E" w:rsidP="00DA4A47">
            <w:pPr>
              <w:pStyle w:val="BodyText1"/>
              <w:jc w:val="center"/>
              <w:rPr>
                <w:rStyle w:val="PRSLTTRTOP"/>
                <w:iCs w:val="0"/>
                <w:spacing w:val="0"/>
                <w:sz w:val="22"/>
                <w:szCs w:val="22"/>
              </w:rPr>
            </w:pPr>
            <w:r w:rsidRPr="00DA4A47">
              <w:rPr>
                <w:rStyle w:val="PRSLTTRTOP"/>
                <w:sz w:val="22"/>
                <w:szCs w:val="22"/>
              </w:rPr>
              <w:t>Amend</w:t>
            </w:r>
          </w:p>
        </w:tc>
        <w:tc>
          <w:tcPr>
            <w:tcW w:w="3421" w:type="pct"/>
            <w:shd w:val="clear" w:color="auto" w:fill="auto"/>
          </w:tcPr>
          <w:p w:rsidR="0075080C" w:rsidRPr="00256F7F" w:rsidRDefault="0075080C" w:rsidP="00DA4A47">
            <w:pPr>
              <w:pStyle w:val="BodyText1"/>
              <w:rPr>
                <w:sz w:val="22"/>
                <w:szCs w:val="22"/>
              </w:rPr>
            </w:pPr>
            <w:r w:rsidRPr="00256F7F">
              <w:rPr>
                <w:sz w:val="22"/>
                <w:szCs w:val="22"/>
              </w:rPr>
              <w:t xml:space="preserve">The amendments to this rule implement </w:t>
            </w:r>
            <w:r w:rsidR="008D523B" w:rsidRPr="00256F7F">
              <w:rPr>
                <w:sz w:val="22"/>
                <w:szCs w:val="22"/>
              </w:rPr>
              <w:t xml:space="preserve">Occupations Code §55.004 </w:t>
            </w:r>
            <w:r w:rsidRPr="00256F7F">
              <w:rPr>
                <w:sz w:val="22"/>
                <w:szCs w:val="22"/>
              </w:rPr>
              <w:t>and clarif</w:t>
            </w:r>
            <w:r w:rsidR="008D523B" w:rsidRPr="00256F7F">
              <w:rPr>
                <w:sz w:val="22"/>
                <w:szCs w:val="22"/>
              </w:rPr>
              <w:t>y</w:t>
            </w:r>
            <w:r w:rsidRPr="00256F7F">
              <w:rPr>
                <w:sz w:val="22"/>
                <w:szCs w:val="22"/>
              </w:rPr>
              <w:t xml:space="preserve"> existing provisions of the rule</w:t>
            </w:r>
            <w:r w:rsidR="00256F7F" w:rsidRPr="00256F7F">
              <w:rPr>
                <w:sz w:val="22"/>
                <w:szCs w:val="22"/>
              </w:rPr>
              <w:t>, as follows:</w:t>
            </w:r>
          </w:p>
          <w:p w:rsidR="00256F7F" w:rsidRPr="00256F7F" w:rsidRDefault="00256F7F" w:rsidP="00256F7F">
            <w:pPr>
              <w:pStyle w:val="ListParagraph"/>
              <w:numPr>
                <w:ilvl w:val="0"/>
                <w:numId w:val="1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256F7F">
              <w:rPr>
                <w:rFonts w:ascii="Arial" w:hAnsi="Arial" w:cs="Arial"/>
                <w:sz w:val="22"/>
                <w:szCs w:val="22"/>
              </w:rPr>
              <w:t xml:space="preserve">The title of the rule is changed to reflect that some of the provisions in this section will now be applicable to both a child-placing agency administrator’s license as well as a child-care administrator’s license;  </w:t>
            </w:r>
          </w:p>
          <w:p w:rsidR="00256F7F" w:rsidRPr="00256F7F" w:rsidRDefault="00256F7F" w:rsidP="00256F7F">
            <w:pPr>
              <w:pStyle w:val="ListParagraph"/>
              <w:numPr>
                <w:ilvl w:val="0"/>
                <w:numId w:val="1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256F7F">
              <w:rPr>
                <w:rFonts w:ascii="Arial" w:hAnsi="Arial" w:cs="Arial"/>
                <w:sz w:val="22"/>
                <w:szCs w:val="22"/>
              </w:rPr>
              <w:t>Subsection (a) is amended to provide that Child Care Licensing (CCL) may waive any prerequisite for either type of administrator’s  license if the applicant holds a valid administrator’s license in another state that has licensing requirements substantially equivalent to those in Texas; and</w:t>
            </w:r>
          </w:p>
          <w:p w:rsidR="00256F7F" w:rsidRPr="00256F7F" w:rsidRDefault="00256F7F" w:rsidP="00256F7F">
            <w:pPr>
              <w:pStyle w:val="ListParagraph"/>
              <w:numPr>
                <w:ilvl w:val="0"/>
                <w:numId w:val="1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256F7F">
              <w:rPr>
                <w:rFonts w:ascii="Arial" w:hAnsi="Arial" w:cs="Arial"/>
                <w:sz w:val="22"/>
                <w:szCs w:val="22"/>
              </w:rPr>
              <w:t>Subsection (b) is amended to clarify that CCL may issue a provisional license to certain applicants seeking a child-care administrator's license.</w:t>
            </w:r>
          </w:p>
          <w:p w:rsidR="00BE1549" w:rsidRPr="00256F7F" w:rsidRDefault="00BE1549" w:rsidP="00DA4A47">
            <w:pPr>
              <w:pStyle w:val="BodyText1"/>
              <w:rPr>
                <w:rStyle w:val="PRSLTTRTOP"/>
                <w:iCs w:val="0"/>
                <w:spacing w:val="0"/>
                <w:sz w:val="22"/>
                <w:szCs w:val="22"/>
              </w:rPr>
            </w:pPr>
          </w:p>
        </w:tc>
      </w:tr>
      <w:tr w:rsidR="00256F7F" w:rsidRPr="00F25906" w:rsidTr="00CF0374">
        <w:trPr>
          <w:trHeight w:val="1601"/>
        </w:trPr>
        <w:tc>
          <w:tcPr>
            <w:tcW w:w="877" w:type="pct"/>
            <w:shd w:val="clear" w:color="auto" w:fill="auto"/>
          </w:tcPr>
          <w:p w:rsidR="00256F7F" w:rsidRPr="00DA4A47" w:rsidRDefault="00256F7F" w:rsidP="00DA4A47">
            <w:pPr>
              <w:pStyle w:val="BodyText1"/>
              <w:rPr>
                <w:rStyle w:val="PRSLTTRTOP"/>
                <w:sz w:val="22"/>
                <w:szCs w:val="22"/>
              </w:rPr>
            </w:pPr>
            <w:r w:rsidRPr="00DA4A47">
              <w:rPr>
                <w:rStyle w:val="PRSLTTRTOP"/>
                <w:sz w:val="22"/>
                <w:szCs w:val="22"/>
              </w:rPr>
              <w:t>§745.89</w:t>
            </w:r>
            <w:r>
              <w:rPr>
                <w:rStyle w:val="PRSLTTRTOP"/>
                <w:sz w:val="22"/>
                <w:szCs w:val="22"/>
              </w:rPr>
              <w:t>20</w:t>
            </w:r>
          </w:p>
          <w:p w:rsidR="00256F7F" w:rsidRPr="00DA4A47" w:rsidRDefault="00256F7F" w:rsidP="00DA4A47">
            <w:pPr>
              <w:pStyle w:val="BodyText1"/>
              <w:rPr>
                <w:sz w:val="22"/>
                <w:szCs w:val="22"/>
              </w:rPr>
            </w:pPr>
          </w:p>
        </w:tc>
        <w:tc>
          <w:tcPr>
            <w:tcW w:w="702" w:type="pct"/>
            <w:shd w:val="clear" w:color="auto" w:fill="auto"/>
          </w:tcPr>
          <w:p w:rsidR="00256F7F" w:rsidRPr="00DA4A47" w:rsidRDefault="00256F7F" w:rsidP="00DA4A47">
            <w:pPr>
              <w:pStyle w:val="BodyText1"/>
              <w:jc w:val="center"/>
              <w:rPr>
                <w:sz w:val="22"/>
                <w:szCs w:val="22"/>
              </w:rPr>
            </w:pPr>
            <w:r>
              <w:rPr>
                <w:rStyle w:val="PRSLTTRTOP"/>
                <w:sz w:val="22"/>
                <w:szCs w:val="22"/>
              </w:rPr>
              <w:t>New rule</w:t>
            </w:r>
          </w:p>
        </w:tc>
        <w:tc>
          <w:tcPr>
            <w:tcW w:w="3421" w:type="pct"/>
            <w:shd w:val="clear" w:color="auto" w:fill="auto"/>
          </w:tcPr>
          <w:p w:rsidR="00256F7F" w:rsidRPr="00256F7F" w:rsidRDefault="00256F7F" w:rsidP="00C061B3">
            <w:pPr>
              <w:pStyle w:val="BodyText1"/>
              <w:rPr>
                <w:sz w:val="22"/>
                <w:szCs w:val="22"/>
              </w:rPr>
            </w:pPr>
            <w:r w:rsidRPr="00256F7F">
              <w:rPr>
                <w:sz w:val="22"/>
                <w:szCs w:val="22"/>
              </w:rPr>
              <w:t xml:space="preserve">This new rule implements Occupations Code §§ 55.04 and 55.007, which require that special considerations be given to applicants for an administrator’s license who are military spouses, service members, or veterans.  </w:t>
            </w:r>
          </w:p>
          <w:p w:rsidR="00256F7F" w:rsidRPr="00256F7F" w:rsidRDefault="00256F7F" w:rsidP="00C061B3">
            <w:pPr>
              <w:pStyle w:val="BodyText1"/>
              <w:rPr>
                <w:sz w:val="22"/>
                <w:szCs w:val="22"/>
              </w:rPr>
            </w:pPr>
          </w:p>
          <w:p w:rsidR="00256F7F" w:rsidRPr="00256F7F" w:rsidRDefault="00256F7F" w:rsidP="00C061B3">
            <w:pPr>
              <w:pStyle w:val="BodyText1"/>
              <w:rPr>
                <w:sz w:val="22"/>
                <w:szCs w:val="22"/>
              </w:rPr>
            </w:pPr>
            <w:r w:rsidRPr="00256F7F">
              <w:rPr>
                <w:sz w:val="22"/>
                <w:szCs w:val="22"/>
              </w:rPr>
              <w:t xml:space="preserve">Subsection (a) authorizes the Assistant Commissioner of CCL or that person’s designee to: </w:t>
            </w:r>
          </w:p>
          <w:p w:rsidR="00256F7F" w:rsidRPr="00256F7F" w:rsidRDefault="00256F7F" w:rsidP="00256F7F">
            <w:pPr>
              <w:pStyle w:val="BodyText1"/>
              <w:numPr>
                <w:ilvl w:val="0"/>
                <w:numId w:val="19"/>
              </w:numPr>
              <w:rPr>
                <w:sz w:val="22"/>
                <w:szCs w:val="22"/>
              </w:rPr>
            </w:pPr>
            <w:r w:rsidRPr="00256F7F">
              <w:rPr>
                <w:sz w:val="22"/>
                <w:szCs w:val="22"/>
              </w:rPr>
              <w:t xml:space="preserve">allow a military spouse who holds an administrator’s license in another state, or who previously held an administrator’s license in Texas within the past five years that expired while the applicant was in another state for at least six months, to demonstrate competence with respect to a licensing requirement though an appropriate alternative method; and </w:t>
            </w:r>
          </w:p>
          <w:p w:rsidR="00256F7F" w:rsidRPr="00256F7F" w:rsidRDefault="00256F7F" w:rsidP="00BA25D7">
            <w:pPr>
              <w:pStyle w:val="BodyText1"/>
              <w:numPr>
                <w:ilvl w:val="0"/>
                <w:numId w:val="19"/>
              </w:numPr>
              <w:rPr>
                <w:sz w:val="22"/>
                <w:szCs w:val="22"/>
              </w:rPr>
            </w:pPr>
            <w:r w:rsidRPr="00256F7F">
              <w:rPr>
                <w:sz w:val="22"/>
                <w:szCs w:val="22"/>
              </w:rPr>
              <w:t>credit verified military service, training, or education toward a licensing requirement for an applicant who is a military service</w:t>
            </w:r>
          </w:p>
        </w:tc>
      </w:tr>
      <w:tr w:rsidR="00BA25D7" w:rsidRPr="00F25906" w:rsidTr="00CF0374">
        <w:trPr>
          <w:trHeight w:val="791"/>
        </w:trPr>
        <w:tc>
          <w:tcPr>
            <w:tcW w:w="877" w:type="pct"/>
            <w:shd w:val="clear" w:color="auto" w:fill="auto"/>
          </w:tcPr>
          <w:p w:rsidR="00BA25D7" w:rsidRPr="00DA4A47" w:rsidRDefault="00BA25D7" w:rsidP="00BA25D7">
            <w:pPr>
              <w:pStyle w:val="BodyText1"/>
              <w:rPr>
                <w:rStyle w:val="PRSLTTRTOP"/>
                <w:sz w:val="22"/>
                <w:szCs w:val="22"/>
              </w:rPr>
            </w:pPr>
            <w:r w:rsidRPr="00DA4A47">
              <w:rPr>
                <w:rStyle w:val="PRSLTTRTOP"/>
                <w:sz w:val="22"/>
                <w:szCs w:val="22"/>
              </w:rPr>
              <w:lastRenderedPageBreak/>
              <w:t>§745.89</w:t>
            </w:r>
            <w:r>
              <w:rPr>
                <w:rStyle w:val="PRSLTTRTOP"/>
                <w:sz w:val="22"/>
                <w:szCs w:val="22"/>
              </w:rPr>
              <w:t>20</w:t>
            </w:r>
            <w:r>
              <w:rPr>
                <w:rStyle w:val="PRSLTTRTOP"/>
                <w:sz w:val="22"/>
                <w:szCs w:val="22"/>
              </w:rPr>
              <w:t xml:space="preserve"> (Continued)</w:t>
            </w:r>
          </w:p>
          <w:p w:rsidR="00BA25D7" w:rsidRPr="00DA4A47" w:rsidRDefault="00BA25D7" w:rsidP="00DA4A47">
            <w:pPr>
              <w:pStyle w:val="BodyText1"/>
              <w:rPr>
                <w:rStyle w:val="PRSLTTRTOP"/>
                <w:sz w:val="22"/>
                <w:szCs w:val="22"/>
              </w:rPr>
            </w:pPr>
          </w:p>
        </w:tc>
        <w:tc>
          <w:tcPr>
            <w:tcW w:w="702" w:type="pct"/>
            <w:shd w:val="clear" w:color="auto" w:fill="auto"/>
          </w:tcPr>
          <w:p w:rsidR="00BA25D7" w:rsidRPr="00DA4A47" w:rsidRDefault="00BA25D7" w:rsidP="00F25906">
            <w:pPr>
              <w:spacing w:after="60"/>
              <w:jc w:val="center"/>
              <w:rPr>
                <w:rStyle w:val="PRSLTTRTOP"/>
                <w:rFonts w:ascii="Arial" w:hAnsi="Arial" w:cs="Arial"/>
                <w:spacing w:val="-3"/>
                <w:sz w:val="22"/>
                <w:szCs w:val="22"/>
              </w:rPr>
            </w:pPr>
          </w:p>
        </w:tc>
        <w:tc>
          <w:tcPr>
            <w:tcW w:w="3421" w:type="pct"/>
            <w:shd w:val="clear" w:color="auto" w:fill="auto"/>
          </w:tcPr>
          <w:p w:rsidR="00BA25D7" w:rsidRPr="00BA25D7" w:rsidRDefault="00BA25D7" w:rsidP="00BA2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rPr>
                <w:rFonts w:ascii="Arial" w:hAnsi="Arial" w:cs="Arial"/>
                <w:sz w:val="22"/>
                <w:szCs w:val="22"/>
              </w:rPr>
            </w:pPr>
            <w:r w:rsidRPr="00BA25D7">
              <w:rPr>
                <w:rFonts w:ascii="Arial" w:hAnsi="Arial" w:cs="Arial"/>
                <w:sz w:val="22"/>
                <w:szCs w:val="22"/>
              </w:rPr>
              <w:t xml:space="preserve">member or military veteran, unless that applicant holds a  professional or occupational license in another jurisdiction that is restricted.  </w:t>
            </w:r>
          </w:p>
          <w:p w:rsidR="00BA25D7" w:rsidRPr="00BA25D7" w:rsidRDefault="00BA25D7" w:rsidP="00BA2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p>
          <w:p w:rsidR="00BA25D7" w:rsidRDefault="00BA25D7" w:rsidP="00BA2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BA25D7">
              <w:rPr>
                <w:rFonts w:ascii="Arial" w:hAnsi="Arial" w:cs="Arial"/>
                <w:sz w:val="22"/>
                <w:szCs w:val="22"/>
              </w:rPr>
              <w:t>Subsection (b) provides that no special consideration can be provided under this section to an applicant who is ineligible for an administrator’s license because of a criminal conviction or Central Registry finding, as provided by Chapter 745, Subchapter F, Division 3 of this title (relating to Criminal Convictions and Central Registry Findings of Child Abuse or Neglect.</w:t>
            </w:r>
          </w:p>
        </w:tc>
      </w:tr>
      <w:tr w:rsidR="00256F7F" w:rsidRPr="00F25906" w:rsidTr="00CF0374">
        <w:trPr>
          <w:trHeight w:val="791"/>
        </w:trPr>
        <w:tc>
          <w:tcPr>
            <w:tcW w:w="877" w:type="pct"/>
            <w:shd w:val="clear" w:color="auto" w:fill="auto"/>
          </w:tcPr>
          <w:p w:rsidR="00256F7F" w:rsidRPr="00DA4A47" w:rsidRDefault="00256F7F" w:rsidP="00DA4A47">
            <w:pPr>
              <w:pStyle w:val="BodyText1"/>
              <w:rPr>
                <w:rStyle w:val="PRSLTTRTOP"/>
                <w:sz w:val="22"/>
                <w:szCs w:val="22"/>
              </w:rPr>
            </w:pPr>
            <w:r w:rsidRPr="00DA4A47">
              <w:rPr>
                <w:rStyle w:val="PRSLTTRTOP"/>
                <w:sz w:val="22"/>
                <w:szCs w:val="22"/>
              </w:rPr>
              <w:t>§745.8933</w:t>
            </w:r>
          </w:p>
          <w:p w:rsidR="00256F7F" w:rsidRPr="00DA4A47" w:rsidRDefault="00256F7F" w:rsidP="001A0787">
            <w:pPr>
              <w:spacing w:after="60"/>
              <w:jc w:val="center"/>
              <w:rPr>
                <w:rStyle w:val="PRSLTTRTOP"/>
                <w:rFonts w:ascii="Arial" w:hAnsi="Arial" w:cs="Arial"/>
                <w:spacing w:val="-3"/>
                <w:sz w:val="22"/>
                <w:szCs w:val="22"/>
              </w:rPr>
            </w:pPr>
          </w:p>
          <w:p w:rsidR="00256F7F" w:rsidRPr="00DA4A47" w:rsidRDefault="00256F7F" w:rsidP="00DA4A47">
            <w:pPr>
              <w:pStyle w:val="BodyText1"/>
              <w:rPr>
                <w:rStyle w:val="PRSLTTRTOP"/>
                <w:sz w:val="22"/>
                <w:szCs w:val="22"/>
              </w:rPr>
            </w:pPr>
          </w:p>
        </w:tc>
        <w:tc>
          <w:tcPr>
            <w:tcW w:w="702" w:type="pct"/>
            <w:shd w:val="clear" w:color="auto" w:fill="auto"/>
          </w:tcPr>
          <w:p w:rsidR="00256F7F" w:rsidRPr="00DA4A47" w:rsidRDefault="00256F7F" w:rsidP="00F25906">
            <w:pPr>
              <w:spacing w:after="60"/>
              <w:jc w:val="center"/>
              <w:rPr>
                <w:rStyle w:val="PRSLTTRTOP"/>
                <w:rFonts w:ascii="Arial" w:hAnsi="Arial" w:cs="Arial"/>
                <w:spacing w:val="-3"/>
                <w:sz w:val="22"/>
                <w:szCs w:val="22"/>
              </w:rPr>
            </w:pPr>
            <w:r w:rsidRPr="00DA4A47">
              <w:rPr>
                <w:rStyle w:val="PRSLTTRTOP"/>
                <w:rFonts w:ascii="Arial" w:hAnsi="Arial" w:cs="Arial"/>
                <w:spacing w:val="-3"/>
                <w:sz w:val="22"/>
                <w:szCs w:val="22"/>
              </w:rPr>
              <w:t>Amend</w:t>
            </w:r>
          </w:p>
        </w:tc>
        <w:tc>
          <w:tcPr>
            <w:tcW w:w="3421" w:type="pct"/>
            <w:shd w:val="clear" w:color="auto" w:fill="auto"/>
          </w:tcPr>
          <w:p w:rsidR="00256F7F" w:rsidRDefault="00256F7F" w:rsidP="00256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Pr>
                <w:rFonts w:ascii="Arial" w:hAnsi="Arial" w:cs="Arial"/>
                <w:sz w:val="22"/>
                <w:szCs w:val="22"/>
              </w:rPr>
              <w:t>This amendment</w:t>
            </w:r>
            <w:r w:rsidRPr="00256F7F">
              <w:rPr>
                <w:rFonts w:ascii="Arial" w:hAnsi="Arial" w:cs="Arial"/>
                <w:sz w:val="22"/>
                <w:szCs w:val="22"/>
              </w:rPr>
              <w:t xml:space="preserve"> requires that certain information must be included with an application for an administrator’s license to enable DFPS to assess whether a person qualifies as a military spouse, service member, or veteran and whether the person, as a result of that status, is eligible for certain benefits as provided by Chapter 55, Occupations Code. </w:t>
            </w:r>
          </w:p>
          <w:p w:rsidR="00CF0374" w:rsidRDefault="00CF0374" w:rsidP="00256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p>
          <w:p w:rsidR="00CF0374" w:rsidRDefault="00256F7F" w:rsidP="00256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256F7F">
              <w:rPr>
                <w:rFonts w:ascii="Arial" w:hAnsi="Arial" w:cs="Arial"/>
                <w:sz w:val="22"/>
                <w:szCs w:val="22"/>
              </w:rPr>
              <w:t xml:space="preserve">Subsection (b) is added, and states that a complete application from a military spouse  seeking expedited handling of the application, or from any person seeking recognition of their out-of-state administrator’s license, must include, as applicable: </w:t>
            </w:r>
          </w:p>
          <w:p w:rsidR="00CF0374" w:rsidRDefault="00256F7F"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z w:val="22"/>
                <w:szCs w:val="22"/>
              </w:rPr>
            </w:pPr>
            <w:r w:rsidRPr="00256F7F">
              <w:rPr>
                <w:rFonts w:ascii="Arial" w:hAnsi="Arial" w:cs="Arial"/>
                <w:sz w:val="22"/>
                <w:szCs w:val="22"/>
              </w:rPr>
              <w:t xml:space="preserve">(1) documentation demonstrating status as a military spouse; </w:t>
            </w:r>
          </w:p>
          <w:p w:rsidR="00CF0374" w:rsidRDefault="00256F7F"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z w:val="22"/>
                <w:szCs w:val="22"/>
              </w:rPr>
            </w:pPr>
            <w:r w:rsidRPr="00256F7F">
              <w:rPr>
                <w:rFonts w:ascii="Arial" w:hAnsi="Arial" w:cs="Arial"/>
                <w:sz w:val="22"/>
                <w:szCs w:val="22"/>
              </w:rPr>
              <w:t xml:space="preserve">(2) documentation related to each administrator’s license currently held outside of Texas; and </w:t>
            </w:r>
          </w:p>
          <w:p w:rsidR="00CF0374" w:rsidRDefault="00256F7F"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z w:val="22"/>
                <w:szCs w:val="22"/>
              </w:rPr>
            </w:pPr>
            <w:r w:rsidRPr="00256F7F">
              <w:rPr>
                <w:rFonts w:ascii="Arial" w:hAnsi="Arial" w:cs="Arial"/>
                <w:sz w:val="22"/>
                <w:szCs w:val="22"/>
              </w:rPr>
              <w:t xml:space="preserve">(3) a copy of the regulations pertaining to the current out-of-state administrator’s license.  </w:t>
            </w:r>
          </w:p>
          <w:p w:rsidR="00CF0374" w:rsidRDefault="00CF0374" w:rsidP="00256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p>
          <w:p w:rsidR="00256F7F" w:rsidRPr="00256F7F" w:rsidRDefault="00256F7F" w:rsidP="00256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256F7F">
              <w:rPr>
                <w:rFonts w:ascii="Arial" w:hAnsi="Arial" w:cs="Arial"/>
                <w:sz w:val="22"/>
                <w:szCs w:val="22"/>
              </w:rPr>
              <w:t xml:space="preserve">Subsection (c) is added, and states that a complete application from a military spouse, military service member, or military veteran seeking special consideration under new §1745.8920, must include, as applicable,  documentation demonstrating status as a military spouse, military service member, or military veteran; documentation related to any professional or occupational license currently held outside of Texas’ and additional documents needed to demonstrate competency by an alternative method, or that verified military service, training, or education should be credited towards a license requirement. </w:t>
            </w:r>
          </w:p>
          <w:p w:rsidR="00256F7F" w:rsidRPr="00DA4A47" w:rsidRDefault="00256F7F" w:rsidP="00C061B3">
            <w:pPr>
              <w:pStyle w:val="BodyText1"/>
              <w:rPr>
                <w:sz w:val="22"/>
                <w:szCs w:val="22"/>
              </w:rPr>
            </w:pPr>
          </w:p>
        </w:tc>
      </w:tr>
      <w:tr w:rsidR="00256F7F" w:rsidRPr="00F25906" w:rsidTr="00CF0374">
        <w:tc>
          <w:tcPr>
            <w:tcW w:w="877" w:type="pct"/>
            <w:shd w:val="clear" w:color="auto" w:fill="auto"/>
          </w:tcPr>
          <w:p w:rsidR="00256F7F" w:rsidRPr="00DA4A47" w:rsidRDefault="00256F7F" w:rsidP="00DA4A47">
            <w:pPr>
              <w:pStyle w:val="BodyText1"/>
              <w:rPr>
                <w:rStyle w:val="PRSLTTRTOP"/>
                <w:sz w:val="22"/>
                <w:szCs w:val="22"/>
              </w:rPr>
            </w:pPr>
            <w:r w:rsidRPr="00DA4A47">
              <w:rPr>
                <w:rStyle w:val="PRSLTTRTOP"/>
                <w:sz w:val="22"/>
                <w:szCs w:val="22"/>
              </w:rPr>
              <w:t>§745.8951</w:t>
            </w:r>
          </w:p>
          <w:p w:rsidR="00256F7F" w:rsidRPr="00DA4A47" w:rsidRDefault="00256F7F" w:rsidP="001A0787">
            <w:pPr>
              <w:spacing w:after="60"/>
              <w:jc w:val="center"/>
              <w:rPr>
                <w:rStyle w:val="PRSLTTRTOP"/>
                <w:rFonts w:ascii="Arial" w:hAnsi="Arial" w:cs="Arial"/>
                <w:spacing w:val="-3"/>
                <w:sz w:val="22"/>
                <w:szCs w:val="22"/>
              </w:rPr>
            </w:pPr>
          </w:p>
        </w:tc>
        <w:tc>
          <w:tcPr>
            <w:tcW w:w="702" w:type="pct"/>
            <w:shd w:val="clear" w:color="auto" w:fill="auto"/>
          </w:tcPr>
          <w:p w:rsidR="00256F7F" w:rsidRPr="00DA4A47" w:rsidRDefault="00256F7F" w:rsidP="001A0787">
            <w:pPr>
              <w:spacing w:after="60"/>
              <w:jc w:val="center"/>
              <w:rPr>
                <w:rStyle w:val="PRSLTTRTOP"/>
                <w:rFonts w:ascii="Arial" w:hAnsi="Arial" w:cs="Arial"/>
                <w:spacing w:val="-3"/>
                <w:sz w:val="22"/>
                <w:szCs w:val="22"/>
              </w:rPr>
            </w:pPr>
            <w:r w:rsidRPr="00DA4A47">
              <w:rPr>
                <w:rStyle w:val="PRSLTTRTOP"/>
                <w:rFonts w:ascii="Arial" w:hAnsi="Arial" w:cs="Arial"/>
                <w:spacing w:val="-3"/>
                <w:sz w:val="22"/>
                <w:szCs w:val="22"/>
              </w:rPr>
              <w:t>Amend</w:t>
            </w:r>
          </w:p>
        </w:tc>
        <w:tc>
          <w:tcPr>
            <w:tcW w:w="3421" w:type="pct"/>
            <w:shd w:val="clear" w:color="auto" w:fill="auto"/>
          </w:tcPr>
          <w:p w:rsidR="00CF0374" w:rsidRPr="00CF0374" w:rsidRDefault="00CF0374"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CF0374">
              <w:rPr>
                <w:rFonts w:ascii="Arial" w:hAnsi="Arial" w:cs="Arial"/>
                <w:sz w:val="22"/>
                <w:szCs w:val="22"/>
              </w:rPr>
              <w:t>The amendment implements Occupations Code § 55.005, which requires a state agency to process an application for a military spouse “as soon as practicable.”</w:t>
            </w:r>
          </w:p>
          <w:p w:rsidR="00256F7F" w:rsidRPr="00CF0374" w:rsidRDefault="00CF0374"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CF0374">
              <w:rPr>
                <w:rFonts w:ascii="Arial" w:hAnsi="Arial" w:cs="Arial"/>
                <w:sz w:val="22"/>
                <w:szCs w:val="22"/>
              </w:rPr>
              <w:t xml:space="preserve">The amendment to this rule states that CCL will notify a military spouse of the status of his or her application for an administrator’s license as soon as practicable, but </w:t>
            </w:r>
            <w:r w:rsidR="00C21875">
              <w:rPr>
                <w:rFonts w:ascii="Arial" w:hAnsi="Arial" w:cs="Arial"/>
                <w:sz w:val="22"/>
                <w:szCs w:val="22"/>
              </w:rPr>
              <w:t>not later</w:t>
            </w:r>
            <w:r w:rsidRPr="00CF0374">
              <w:rPr>
                <w:rFonts w:ascii="Arial" w:hAnsi="Arial" w:cs="Arial"/>
                <w:sz w:val="22"/>
                <w:szCs w:val="22"/>
              </w:rPr>
              <w:t xml:space="preserve"> than 21 days. </w:t>
            </w:r>
          </w:p>
          <w:p w:rsidR="00CF0374" w:rsidRPr="00DA4A47" w:rsidRDefault="00CF0374" w:rsidP="00CF0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sz w:val="22"/>
                <w:szCs w:val="22"/>
              </w:rPr>
            </w:pPr>
          </w:p>
        </w:tc>
      </w:tr>
    </w:tbl>
    <w:p w:rsidR="00CD1612" w:rsidRDefault="00CD1612" w:rsidP="00DA4A47">
      <w:pPr>
        <w:pStyle w:val="BodyText1"/>
      </w:pPr>
    </w:p>
    <w:p w:rsidR="00EE277C" w:rsidRPr="00F25906"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lastRenderedPageBreak/>
        <w:t>STATUTORY AUTHORITY AND STATUTES AFFECTED</w:t>
      </w:r>
    </w:p>
    <w:p w:rsidR="00A045C3" w:rsidRDefault="00A045C3" w:rsidP="00DA4A47">
      <w:pPr>
        <w:pStyle w:val="BodyText1"/>
      </w:pPr>
      <w:r w:rsidRPr="00E858F0">
        <w:t xml:space="preserve">The </w:t>
      </w:r>
      <w:r w:rsidR="00C610A4" w:rsidRPr="00E858F0">
        <w:t>modification</w:t>
      </w:r>
      <w:r w:rsidRPr="00E858F0">
        <w:t xml:space="preserve"> is proposed under Human Resources Code (</w:t>
      </w:r>
      <w:r w:rsidR="00EE277C" w:rsidRPr="00E858F0">
        <w:t>H.R.C.</w:t>
      </w:r>
      <w:r w:rsidR="00E858F0" w:rsidRPr="00E858F0">
        <w:t xml:space="preserve">) §40.0505 and Government </w:t>
      </w:r>
      <w:r w:rsidRPr="00E858F0">
        <w:t xml:space="preserve">Code §531.0055, which provide that the Health and Human Services Executive Commissioner shall adopt rules for the operation and provision of services by the health and human services agencies, including the Department of Family and Protective Services; and </w:t>
      </w:r>
      <w:r w:rsidR="00EE277C" w:rsidRPr="00E858F0">
        <w:t>H.R.C.</w:t>
      </w:r>
      <w:r w:rsidRPr="00E858F0">
        <w:t xml:space="preserve"> §40.021, which provides that the Department of Family and Protective Services Council shall study and make recommendations to the executive commissioner and the commissioner regarding rules governing the delivery of services to persons who are served or regulated by </w:t>
      </w:r>
      <w:bookmarkStart w:id="0" w:name="_GoBack"/>
      <w:bookmarkEnd w:id="0"/>
      <w:r w:rsidRPr="00E858F0">
        <w:t>the department.</w:t>
      </w:r>
      <w:r w:rsidR="00CF0374">
        <w:t xml:space="preserve">  The new rules implement Chapter 55 of the Occupations Code. </w:t>
      </w:r>
    </w:p>
    <w:p w:rsidR="00C31FA4" w:rsidRPr="00E858F0" w:rsidRDefault="00C31FA4" w:rsidP="00E858F0">
      <w:pPr>
        <w:spacing w:after="60"/>
        <w:jc w:val="both"/>
        <w:rPr>
          <w:rFonts w:ascii="Arial" w:hAnsi="Arial" w:cs="Arial"/>
          <w:i/>
          <w:iCs/>
          <w:sz w:val="24"/>
          <w:szCs w:val="24"/>
        </w:rPr>
      </w:pPr>
    </w:p>
    <w:p w:rsidR="000B534F" w:rsidRPr="00F25906"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FISCAL IMPLICATIONS</w:t>
      </w:r>
      <w:r>
        <w:rPr>
          <w:rFonts w:ascii="Arial" w:hAnsi="Arial" w:cs="Arial"/>
          <w:sz w:val="24"/>
          <w:szCs w:val="24"/>
        </w:rPr>
        <w:tab/>
      </w:r>
    </w:p>
    <w:p w:rsidR="00A045C3" w:rsidRPr="00E858F0" w:rsidRDefault="00A045C3" w:rsidP="00DA4A47">
      <w:pPr>
        <w:pStyle w:val="BodyText1"/>
      </w:pPr>
      <w:r w:rsidRPr="00E858F0">
        <w:t>(a) Fiscal Impact</w:t>
      </w:r>
      <w:r w:rsidR="00A46AEB" w:rsidRPr="00E858F0">
        <w:t xml:space="preserve">. </w:t>
      </w:r>
      <w:r w:rsidRPr="00E858F0">
        <w:t>For each of the first five years that the rules will be in effect there will not be costs or revenues to state or local government as a result of enforcing or administering this section</w:t>
      </w:r>
      <w:r w:rsidR="00A46AEB" w:rsidRPr="00E858F0">
        <w:t xml:space="preserve">. </w:t>
      </w:r>
    </w:p>
    <w:p w:rsidR="00A045C3" w:rsidRPr="00E858F0" w:rsidRDefault="00A045C3" w:rsidP="00CF0374">
      <w:pPr>
        <w:pStyle w:val="BodyText"/>
      </w:pPr>
    </w:p>
    <w:p w:rsidR="000B534F" w:rsidRPr="00E858F0" w:rsidRDefault="00A045C3" w:rsidP="00DA4A47">
      <w:pPr>
        <w:pStyle w:val="BodyText1"/>
      </w:pPr>
      <w:r w:rsidRPr="00E858F0">
        <w:t>(b) Public Costs and Benefits</w:t>
      </w:r>
      <w:r w:rsidR="00A46AEB" w:rsidRPr="00E858F0">
        <w:t xml:space="preserve">. </w:t>
      </w:r>
      <w:r w:rsidRPr="00E858F0">
        <w:t>For each of the first five years that the proposed sections will be in effect, the public benefit anticipated as a result of the rule change</w:t>
      </w:r>
      <w:r w:rsidR="009A451B" w:rsidRPr="00E858F0">
        <w:t>s</w:t>
      </w:r>
      <w:r w:rsidR="000B534F" w:rsidRPr="00E858F0">
        <w:t xml:space="preserve"> would be: </w:t>
      </w:r>
    </w:p>
    <w:p w:rsidR="00525873" w:rsidRPr="00E858F0" w:rsidRDefault="006052EE" w:rsidP="00DA4A47">
      <w:pPr>
        <w:pStyle w:val="BodyText1"/>
        <w:numPr>
          <w:ilvl w:val="0"/>
          <w:numId w:val="1"/>
        </w:numPr>
      </w:pPr>
      <w:r w:rsidRPr="00E858F0">
        <w:t xml:space="preserve">Compliance </w:t>
      </w:r>
      <w:r w:rsidR="001B2239" w:rsidRPr="00E858F0">
        <w:t>with Chapter 55 of the Occupations Code</w:t>
      </w:r>
      <w:r w:rsidRPr="00E858F0">
        <w:t>.</w:t>
      </w:r>
    </w:p>
    <w:p w:rsidR="00946D4A" w:rsidRPr="00E858F0" w:rsidRDefault="00CF0374" w:rsidP="00DA4A47">
      <w:pPr>
        <w:pStyle w:val="BodyText1"/>
        <w:numPr>
          <w:ilvl w:val="0"/>
          <w:numId w:val="1"/>
        </w:numPr>
      </w:pPr>
      <w:r>
        <w:t>CCL will provide a more flexible</w:t>
      </w:r>
      <w:r w:rsidR="006052EE" w:rsidRPr="00E858F0">
        <w:t xml:space="preserve"> and more expedient</w:t>
      </w:r>
      <w:r>
        <w:t xml:space="preserve"> administrator’s</w:t>
      </w:r>
      <w:r w:rsidR="006052EE" w:rsidRPr="00E858F0">
        <w:t xml:space="preserve"> licensing process for applicants </w:t>
      </w:r>
      <w:r>
        <w:t>who are military spouses, service members, or veterans</w:t>
      </w:r>
      <w:r w:rsidR="00946D4A" w:rsidRPr="00E858F0">
        <w:t>.</w:t>
      </w:r>
    </w:p>
    <w:p w:rsidR="006E4BCC" w:rsidRDefault="006E4BCC" w:rsidP="00DA4A47">
      <w:pPr>
        <w:pStyle w:val="BodyText1"/>
      </w:pPr>
    </w:p>
    <w:p w:rsidR="00A045C3" w:rsidRPr="00E858F0" w:rsidRDefault="00A045C3" w:rsidP="00DA4A47">
      <w:pPr>
        <w:pStyle w:val="BodyText1"/>
      </w:pPr>
      <w:r w:rsidRPr="00E858F0">
        <w:t xml:space="preserve">There is no anticipated economic cost to persons who are required to comply with </w:t>
      </w:r>
      <w:r w:rsidR="00D2530F" w:rsidRPr="00E858F0">
        <w:t xml:space="preserve">any of </w:t>
      </w:r>
      <w:r w:rsidRPr="00E858F0">
        <w:t xml:space="preserve">the proposed </w:t>
      </w:r>
      <w:r w:rsidR="00D2530F" w:rsidRPr="00E858F0">
        <w:t>rule changes</w:t>
      </w:r>
      <w:r w:rsidR="00C66A63" w:rsidRPr="00E858F0">
        <w:t xml:space="preserve">. </w:t>
      </w:r>
      <w:r w:rsidR="00A46AEB" w:rsidRPr="00E858F0">
        <w:t xml:space="preserve"> </w:t>
      </w:r>
    </w:p>
    <w:p w:rsidR="00A045C3" w:rsidRPr="00E858F0" w:rsidRDefault="00A045C3" w:rsidP="00CF0374">
      <w:pPr>
        <w:pStyle w:val="BodyText"/>
      </w:pPr>
    </w:p>
    <w:p w:rsidR="003D1064" w:rsidRPr="00E858F0" w:rsidRDefault="00A045C3" w:rsidP="00DA4A47">
      <w:pPr>
        <w:pStyle w:val="BodyText1"/>
      </w:pPr>
      <w:r w:rsidRPr="00E858F0">
        <w:t>(c) Impact on Business</w:t>
      </w:r>
      <w:r w:rsidR="00A46AEB" w:rsidRPr="00E858F0">
        <w:t xml:space="preserve">. </w:t>
      </w:r>
      <w:r w:rsidR="009C0CD6" w:rsidRPr="00E858F0">
        <w:t>There is no anticipated adverse impact on small, micro, and large businesses as a result of the proposed rule changes because the proposed rule changes should not affect the cost of doing business</w:t>
      </w:r>
      <w:r w:rsidR="0002002F" w:rsidRPr="00E858F0">
        <w:t>.</w:t>
      </w:r>
      <w:r w:rsidR="009C0CD6" w:rsidRPr="00E858F0">
        <w:t xml:space="preserve">  </w:t>
      </w:r>
    </w:p>
    <w:p w:rsidR="00AA212F" w:rsidRPr="00E858F0" w:rsidRDefault="00AA212F" w:rsidP="00DA4A47">
      <w:pPr>
        <w:pStyle w:val="BodyText1"/>
      </w:pPr>
    </w:p>
    <w:p w:rsidR="00A045C3" w:rsidRPr="00E858F0" w:rsidRDefault="00A045C3" w:rsidP="00DA4A47">
      <w:pPr>
        <w:pStyle w:val="BodyText1"/>
      </w:pPr>
      <w:r w:rsidRPr="00E858F0">
        <w:t>(d) Local Employment Impact and Takings Statements</w:t>
      </w:r>
      <w:r w:rsidR="00A46AEB" w:rsidRPr="00E858F0">
        <w:t xml:space="preserve">. </w:t>
      </w:r>
      <w:r w:rsidRPr="00E858F0">
        <w:t>No local employment impact</w:t>
      </w:r>
      <w:r w:rsidR="00D1052F" w:rsidRPr="00E858F0">
        <w:t xml:space="preserve"> statement was required for these</w:t>
      </w:r>
      <w:r w:rsidRPr="00E858F0">
        <w:t xml:space="preserve"> rule</w:t>
      </w:r>
      <w:r w:rsidR="00D1052F" w:rsidRPr="00E858F0">
        <w:t>s</w:t>
      </w:r>
      <w:r w:rsidR="00A46AEB" w:rsidRPr="00E858F0">
        <w:t xml:space="preserve">. </w:t>
      </w:r>
      <w:r w:rsidRPr="00E858F0">
        <w:t>The agency is not required to complete a takings impact assessment</w:t>
      </w:r>
      <w:r w:rsidR="00B924B1" w:rsidRPr="00E858F0">
        <w:t xml:space="preserve"> regarding the proposed section</w:t>
      </w:r>
      <w:r w:rsidRPr="00E858F0">
        <w:t>s.</w:t>
      </w:r>
    </w:p>
    <w:p w:rsidR="003703A7" w:rsidRPr="00E858F0" w:rsidRDefault="003703A7" w:rsidP="00DA4A47">
      <w:pPr>
        <w:pStyle w:val="BodyText1"/>
      </w:pPr>
    </w:p>
    <w:p w:rsidR="00A045C3" w:rsidRPr="00E858F0" w:rsidRDefault="00A045C3" w:rsidP="00DA4A47">
      <w:pPr>
        <w:pStyle w:val="BodyText1"/>
      </w:pPr>
      <w:r w:rsidRPr="00E858F0">
        <w:t>(e) Technology Impact. There is no anticipated impact on technology as a result of the proposed rule change</w:t>
      </w:r>
      <w:r w:rsidR="00B924B1" w:rsidRPr="00E858F0">
        <w:t>s</w:t>
      </w:r>
      <w:r w:rsidR="00A46AEB" w:rsidRPr="00E858F0">
        <w:t xml:space="preserve">. </w:t>
      </w:r>
      <w:r w:rsidRPr="00E858F0">
        <w:t xml:space="preserve"> </w:t>
      </w:r>
    </w:p>
    <w:p w:rsidR="00F340FA" w:rsidRDefault="00F340FA" w:rsidP="00DA4A47">
      <w:pPr>
        <w:pStyle w:val="BodyText1"/>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STAKEHOLDER INPUT</w:t>
      </w:r>
      <w:r>
        <w:rPr>
          <w:rFonts w:ascii="Arial" w:hAnsi="Arial" w:cs="Arial"/>
          <w:sz w:val="24"/>
          <w:szCs w:val="24"/>
        </w:rPr>
        <w:tab/>
      </w:r>
    </w:p>
    <w:p w:rsidR="00A045C3" w:rsidRPr="00E858F0" w:rsidRDefault="00D1052F" w:rsidP="00DA4A47">
      <w:pPr>
        <w:pStyle w:val="BodyText1"/>
      </w:pPr>
      <w:r w:rsidRPr="00E858F0">
        <w:t>Stakeholder input will be obtained during the 30</w:t>
      </w:r>
      <w:r w:rsidR="00B924B1" w:rsidRPr="00E858F0">
        <w:t>-</w:t>
      </w:r>
      <w:r w:rsidRPr="00E858F0">
        <w:t>day public comment period.</w:t>
      </w:r>
    </w:p>
    <w:p w:rsidR="00A045C3" w:rsidRDefault="00A045C3" w:rsidP="00DA4A47">
      <w:pPr>
        <w:pStyle w:val="BodyText1"/>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RECOMMENDATION</w:t>
      </w:r>
    </w:p>
    <w:p w:rsidR="00A045C3" w:rsidRDefault="00A045C3" w:rsidP="00E858F0">
      <w:pPr>
        <w:pStyle w:val="BodyTextIndent"/>
        <w:ind w:firstLine="0"/>
        <w:jc w:val="both"/>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BA25D7" w:rsidRDefault="00BA25D7" w:rsidP="00E858F0">
      <w:pPr>
        <w:pStyle w:val="BodyTextIndent"/>
        <w:ind w:firstLine="0"/>
        <w:jc w:val="both"/>
        <w:rPr>
          <w:rFonts w:ascii="Arial" w:hAnsi="Arial" w:cs="Arial"/>
          <w:sz w:val="24"/>
        </w:rPr>
      </w:pPr>
    </w:p>
    <w:p w:rsidR="00BA25D7" w:rsidRDefault="00BA25D7" w:rsidP="00E858F0">
      <w:pPr>
        <w:pStyle w:val="BodyTextIndent"/>
        <w:ind w:firstLine="0"/>
        <w:jc w:val="both"/>
        <w:rPr>
          <w:rFonts w:ascii="Arial" w:hAnsi="Arial" w:cs="Arial"/>
          <w:sz w:val="24"/>
        </w:rPr>
      </w:pPr>
    </w:p>
    <w:p w:rsidR="00A045C3" w:rsidRDefault="00A045C3" w:rsidP="00E858F0">
      <w:pPr>
        <w:pStyle w:val="BodyTextIndent"/>
        <w:jc w:val="both"/>
        <w:rPr>
          <w:rFonts w:ascii="Arial" w:hAnsi="Arial" w:cs="Arial"/>
          <w:sz w:val="24"/>
          <w:szCs w:val="24"/>
        </w:rPr>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lastRenderedPageBreak/>
        <w:t xml:space="preserve">ATTACHMENTS </w:t>
      </w:r>
    </w:p>
    <w:p w:rsidR="00A045C3" w:rsidRDefault="00A045C3" w:rsidP="00DA4A47">
      <w:pPr>
        <w:pStyle w:val="BodyText1"/>
      </w:pPr>
      <w:r>
        <w:t xml:space="preserve">Attached is a copy of the proposed change to the rule section as staff recommended for submittal to the </w:t>
      </w:r>
      <w:r>
        <w:rPr>
          <w:i/>
        </w:rPr>
        <w:t>Texas Register</w:t>
      </w:r>
      <w:r>
        <w:t>.</w:t>
      </w:r>
    </w:p>
    <w:p w:rsidR="00A045C3" w:rsidRDefault="00A045C3">
      <w:pPr>
        <w:rPr>
          <w:rFonts w:ascii="Arial" w:hAnsi="Arial" w:cs="Arial"/>
          <w:sz w:val="24"/>
        </w:rPr>
      </w:pPr>
    </w:p>
    <w:sectPr w:rsidR="00A045C3" w:rsidSect="00D10804">
      <w:headerReference w:type="default" r:id="rId10"/>
      <w:footerReference w:type="default" r:id="rId11"/>
      <w:type w:val="continuous"/>
      <w:pgSz w:w="12240" w:h="15840" w:code="1"/>
      <w:pgMar w:top="1296" w:right="1440" w:bottom="1296"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3A" w:rsidRDefault="00FF0B3A">
      <w:r>
        <w:separator/>
      </w:r>
    </w:p>
  </w:endnote>
  <w:endnote w:type="continuationSeparator" w:id="0">
    <w:p w:rsidR="00FF0B3A" w:rsidRDefault="00F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3A" w:rsidRDefault="00FF0B3A">
      <w:r>
        <w:separator/>
      </w:r>
    </w:p>
  </w:footnote>
  <w:footnote w:type="continuationSeparator" w:id="0">
    <w:p w:rsidR="00FF0B3A" w:rsidRDefault="00FF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Header"/>
      <w:rPr>
        <w:rFonts w:ascii="Arial" w:hAnsi="Arial" w:cs="Arial"/>
      </w:rPr>
    </w:pPr>
    <w:r>
      <w:rPr>
        <w:rFonts w:ascii="Arial" w:hAnsi="Arial" w:cs="Arial"/>
      </w:rPr>
      <w:t xml:space="preserve">Agenda Item </w:t>
    </w:r>
    <w:r w:rsidR="00572CD5">
      <w:rPr>
        <w:rFonts w:ascii="Arial" w:hAnsi="Arial" w:cs="Arial"/>
      </w:rPr>
      <w:t>5d</w:t>
    </w:r>
  </w:p>
  <w:p w:rsidR="003677A7" w:rsidRDefault="003677A7">
    <w:pPr>
      <w:pStyle w:val="Head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25D7">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BA25D7">
      <w:rPr>
        <w:rStyle w:val="PageNumber"/>
        <w:rFonts w:ascii="Arial" w:hAnsi="Arial" w:cs="Arial"/>
        <w:noProof/>
      </w:rPr>
      <w:t>5</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06D"/>
    <w:multiLevelType w:val="hybridMultilevel"/>
    <w:tmpl w:val="C672A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AFC"/>
    <w:multiLevelType w:val="hybridMultilevel"/>
    <w:tmpl w:val="12628484"/>
    <w:lvl w:ilvl="0" w:tplc="5A58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C408E"/>
    <w:multiLevelType w:val="hybridMultilevel"/>
    <w:tmpl w:val="9052161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0511E8C"/>
    <w:multiLevelType w:val="hybridMultilevel"/>
    <w:tmpl w:val="CEB82256"/>
    <w:lvl w:ilvl="0" w:tplc="C8DA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49F7"/>
    <w:multiLevelType w:val="hybridMultilevel"/>
    <w:tmpl w:val="A3B8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206E4"/>
    <w:multiLevelType w:val="hybridMultilevel"/>
    <w:tmpl w:val="9E8CD984"/>
    <w:lvl w:ilvl="0" w:tplc="DBB8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4360A"/>
    <w:multiLevelType w:val="hybridMultilevel"/>
    <w:tmpl w:val="8A8EE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FE41C2F"/>
    <w:multiLevelType w:val="hybridMultilevel"/>
    <w:tmpl w:val="CED676E8"/>
    <w:lvl w:ilvl="0" w:tplc="968C21D6">
      <w:start w:val="1"/>
      <w:numFmt w:val="decimal"/>
      <w:lvlText w:val="(%1)"/>
      <w:lvlJc w:val="left"/>
      <w:pPr>
        <w:ind w:left="63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12762"/>
    <w:multiLevelType w:val="hybridMultilevel"/>
    <w:tmpl w:val="32BCA4FE"/>
    <w:lvl w:ilvl="0" w:tplc="DBB8E0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nsid w:val="2E1D545C"/>
    <w:multiLevelType w:val="hybridMultilevel"/>
    <w:tmpl w:val="4BBCBA7A"/>
    <w:lvl w:ilvl="0" w:tplc="5A586BB4">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0097D62"/>
    <w:multiLevelType w:val="hybridMultilevel"/>
    <w:tmpl w:val="D92CF4D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55101E35"/>
    <w:multiLevelType w:val="hybridMultilevel"/>
    <w:tmpl w:val="1018C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45A05"/>
    <w:multiLevelType w:val="hybridMultilevel"/>
    <w:tmpl w:val="571AD9F8"/>
    <w:lvl w:ilvl="0" w:tplc="968C21D6">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3">
    <w:nsid w:val="5E8859E0"/>
    <w:multiLevelType w:val="hybridMultilevel"/>
    <w:tmpl w:val="71CCFF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nsid w:val="62A469B8"/>
    <w:multiLevelType w:val="hybridMultilevel"/>
    <w:tmpl w:val="FBF80D3A"/>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5">
    <w:nsid w:val="67C37B31"/>
    <w:multiLevelType w:val="hybridMultilevel"/>
    <w:tmpl w:val="BAC46A06"/>
    <w:lvl w:ilvl="0" w:tplc="5A586BB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072645"/>
    <w:multiLevelType w:val="hybridMultilevel"/>
    <w:tmpl w:val="C6DEB6CC"/>
    <w:lvl w:ilvl="0" w:tplc="5ECAF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170B5"/>
    <w:multiLevelType w:val="hybridMultilevel"/>
    <w:tmpl w:val="2BEE9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463A6"/>
    <w:multiLevelType w:val="hybridMultilevel"/>
    <w:tmpl w:val="35CC238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16"/>
  </w:num>
  <w:num w:numId="2">
    <w:abstractNumId w:val="2"/>
  </w:num>
  <w:num w:numId="3">
    <w:abstractNumId w:val="18"/>
  </w:num>
  <w:num w:numId="4">
    <w:abstractNumId w:val="13"/>
  </w:num>
  <w:num w:numId="5">
    <w:abstractNumId w:val="10"/>
  </w:num>
  <w:num w:numId="6">
    <w:abstractNumId w:val="17"/>
  </w:num>
  <w:num w:numId="7">
    <w:abstractNumId w:val="6"/>
  </w:num>
  <w:num w:numId="8">
    <w:abstractNumId w:val="3"/>
  </w:num>
  <w:num w:numId="9">
    <w:abstractNumId w:val="1"/>
  </w:num>
  <w:num w:numId="10">
    <w:abstractNumId w:val="15"/>
  </w:num>
  <w:num w:numId="11">
    <w:abstractNumId w:val="9"/>
  </w:num>
  <w:num w:numId="12">
    <w:abstractNumId w:val="14"/>
  </w:num>
  <w:num w:numId="13">
    <w:abstractNumId w:val="0"/>
  </w:num>
  <w:num w:numId="14">
    <w:abstractNumId w:val="11"/>
  </w:num>
  <w:num w:numId="15">
    <w:abstractNumId w:val="4"/>
  </w:num>
  <w:num w:numId="16">
    <w:abstractNumId w:val="5"/>
  </w:num>
  <w:num w:numId="17">
    <w:abstractNumId w:val="8"/>
  </w:num>
  <w:num w:numId="18">
    <w:abstractNumId w:val="1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24A"/>
    <w:rsid w:val="00006F17"/>
    <w:rsid w:val="0002002F"/>
    <w:rsid w:val="00023A88"/>
    <w:rsid w:val="00026101"/>
    <w:rsid w:val="00041E4C"/>
    <w:rsid w:val="00042F21"/>
    <w:rsid w:val="00046FCA"/>
    <w:rsid w:val="0005394A"/>
    <w:rsid w:val="000551B6"/>
    <w:rsid w:val="0005769A"/>
    <w:rsid w:val="000613F0"/>
    <w:rsid w:val="00062B01"/>
    <w:rsid w:val="000666DF"/>
    <w:rsid w:val="00067C97"/>
    <w:rsid w:val="00076CFB"/>
    <w:rsid w:val="00082E7E"/>
    <w:rsid w:val="00083101"/>
    <w:rsid w:val="00093AD0"/>
    <w:rsid w:val="00093F70"/>
    <w:rsid w:val="000955BD"/>
    <w:rsid w:val="0009666A"/>
    <w:rsid w:val="000A1A45"/>
    <w:rsid w:val="000A61F6"/>
    <w:rsid w:val="000A7BA6"/>
    <w:rsid w:val="000B2104"/>
    <w:rsid w:val="000B37DE"/>
    <w:rsid w:val="000B534F"/>
    <w:rsid w:val="000C1E90"/>
    <w:rsid w:val="000C2855"/>
    <w:rsid w:val="000D5BAE"/>
    <w:rsid w:val="000E1627"/>
    <w:rsid w:val="000E212F"/>
    <w:rsid w:val="000E4571"/>
    <w:rsid w:val="000E5FE3"/>
    <w:rsid w:val="000E7CE3"/>
    <w:rsid w:val="00103E96"/>
    <w:rsid w:val="00106057"/>
    <w:rsid w:val="00113055"/>
    <w:rsid w:val="001132E2"/>
    <w:rsid w:val="00114CAF"/>
    <w:rsid w:val="00121DDB"/>
    <w:rsid w:val="001258E5"/>
    <w:rsid w:val="00126D42"/>
    <w:rsid w:val="0013393C"/>
    <w:rsid w:val="00134F45"/>
    <w:rsid w:val="00136A2A"/>
    <w:rsid w:val="0014183C"/>
    <w:rsid w:val="00141C63"/>
    <w:rsid w:val="00142920"/>
    <w:rsid w:val="00145B4E"/>
    <w:rsid w:val="00150D9C"/>
    <w:rsid w:val="001534E1"/>
    <w:rsid w:val="00154BD4"/>
    <w:rsid w:val="00161584"/>
    <w:rsid w:val="00161CDA"/>
    <w:rsid w:val="00171C9B"/>
    <w:rsid w:val="001736A3"/>
    <w:rsid w:val="001740FB"/>
    <w:rsid w:val="00176C89"/>
    <w:rsid w:val="001802E3"/>
    <w:rsid w:val="0018435B"/>
    <w:rsid w:val="00186085"/>
    <w:rsid w:val="00190241"/>
    <w:rsid w:val="001A0787"/>
    <w:rsid w:val="001A26B9"/>
    <w:rsid w:val="001A7E91"/>
    <w:rsid w:val="001B0F93"/>
    <w:rsid w:val="001B2239"/>
    <w:rsid w:val="001B40E1"/>
    <w:rsid w:val="001B556F"/>
    <w:rsid w:val="001B5AB9"/>
    <w:rsid w:val="001C0EF7"/>
    <w:rsid w:val="001C4161"/>
    <w:rsid w:val="001C4964"/>
    <w:rsid w:val="001D755F"/>
    <w:rsid w:val="001E2601"/>
    <w:rsid w:val="001E7D2C"/>
    <w:rsid w:val="001F5DD1"/>
    <w:rsid w:val="00200B4E"/>
    <w:rsid w:val="00204B13"/>
    <w:rsid w:val="002077BE"/>
    <w:rsid w:val="00227B69"/>
    <w:rsid w:val="002365F3"/>
    <w:rsid w:val="0024102B"/>
    <w:rsid w:val="002423FD"/>
    <w:rsid w:val="002428F9"/>
    <w:rsid w:val="00256F7F"/>
    <w:rsid w:val="002719F5"/>
    <w:rsid w:val="00271CDE"/>
    <w:rsid w:val="002726C1"/>
    <w:rsid w:val="00276C0E"/>
    <w:rsid w:val="0028226D"/>
    <w:rsid w:val="00285C32"/>
    <w:rsid w:val="00290957"/>
    <w:rsid w:val="00294A91"/>
    <w:rsid w:val="0029553A"/>
    <w:rsid w:val="002A0AB7"/>
    <w:rsid w:val="002A3363"/>
    <w:rsid w:val="002A5CE5"/>
    <w:rsid w:val="002A653F"/>
    <w:rsid w:val="002B6872"/>
    <w:rsid w:val="002C6938"/>
    <w:rsid w:val="002D0231"/>
    <w:rsid w:val="002D1F76"/>
    <w:rsid w:val="002D50D0"/>
    <w:rsid w:val="002D5FED"/>
    <w:rsid w:val="002E5976"/>
    <w:rsid w:val="002F1942"/>
    <w:rsid w:val="002F5B5B"/>
    <w:rsid w:val="003078FA"/>
    <w:rsid w:val="003105ED"/>
    <w:rsid w:val="00311207"/>
    <w:rsid w:val="0031272A"/>
    <w:rsid w:val="00324DE1"/>
    <w:rsid w:val="00325B92"/>
    <w:rsid w:val="0033117B"/>
    <w:rsid w:val="003318D8"/>
    <w:rsid w:val="0033599E"/>
    <w:rsid w:val="00336E1D"/>
    <w:rsid w:val="00337B5B"/>
    <w:rsid w:val="00350EC5"/>
    <w:rsid w:val="00355355"/>
    <w:rsid w:val="00357764"/>
    <w:rsid w:val="00366034"/>
    <w:rsid w:val="0036742C"/>
    <w:rsid w:val="003677A7"/>
    <w:rsid w:val="003703A7"/>
    <w:rsid w:val="00375250"/>
    <w:rsid w:val="00375B18"/>
    <w:rsid w:val="0037751D"/>
    <w:rsid w:val="003811B6"/>
    <w:rsid w:val="00382922"/>
    <w:rsid w:val="00384B92"/>
    <w:rsid w:val="0039618F"/>
    <w:rsid w:val="003A3F7F"/>
    <w:rsid w:val="003A4E34"/>
    <w:rsid w:val="003A5C4C"/>
    <w:rsid w:val="003A6791"/>
    <w:rsid w:val="003A69D0"/>
    <w:rsid w:val="003B2549"/>
    <w:rsid w:val="003B32D9"/>
    <w:rsid w:val="003B47B1"/>
    <w:rsid w:val="003B63AE"/>
    <w:rsid w:val="003C23BA"/>
    <w:rsid w:val="003C44EC"/>
    <w:rsid w:val="003C713F"/>
    <w:rsid w:val="003D0385"/>
    <w:rsid w:val="003D1064"/>
    <w:rsid w:val="003D30F7"/>
    <w:rsid w:val="003E1314"/>
    <w:rsid w:val="003E253C"/>
    <w:rsid w:val="003E42C0"/>
    <w:rsid w:val="003E4F36"/>
    <w:rsid w:val="003E5765"/>
    <w:rsid w:val="003F2F33"/>
    <w:rsid w:val="003F7515"/>
    <w:rsid w:val="004069F0"/>
    <w:rsid w:val="00407DC2"/>
    <w:rsid w:val="00410791"/>
    <w:rsid w:val="00410CA4"/>
    <w:rsid w:val="004128F8"/>
    <w:rsid w:val="00414BE4"/>
    <w:rsid w:val="0043027E"/>
    <w:rsid w:val="004320E9"/>
    <w:rsid w:val="004361E7"/>
    <w:rsid w:val="004426E7"/>
    <w:rsid w:val="0045164F"/>
    <w:rsid w:val="00453C89"/>
    <w:rsid w:val="00454D96"/>
    <w:rsid w:val="004615C8"/>
    <w:rsid w:val="00467BC3"/>
    <w:rsid w:val="004737B8"/>
    <w:rsid w:val="004835C7"/>
    <w:rsid w:val="0048453E"/>
    <w:rsid w:val="00490277"/>
    <w:rsid w:val="00490B20"/>
    <w:rsid w:val="00496431"/>
    <w:rsid w:val="00497646"/>
    <w:rsid w:val="004A0BC3"/>
    <w:rsid w:val="004A4A2B"/>
    <w:rsid w:val="004A4D3D"/>
    <w:rsid w:val="004B3171"/>
    <w:rsid w:val="004B5FB9"/>
    <w:rsid w:val="004B67C7"/>
    <w:rsid w:val="004C7BB7"/>
    <w:rsid w:val="004D36F7"/>
    <w:rsid w:val="004D7544"/>
    <w:rsid w:val="004E01F1"/>
    <w:rsid w:val="004E276A"/>
    <w:rsid w:val="004E28B0"/>
    <w:rsid w:val="004E4D3B"/>
    <w:rsid w:val="004E57D9"/>
    <w:rsid w:val="004E6679"/>
    <w:rsid w:val="004E7B72"/>
    <w:rsid w:val="005020FE"/>
    <w:rsid w:val="0050255D"/>
    <w:rsid w:val="0050608D"/>
    <w:rsid w:val="00506A7C"/>
    <w:rsid w:val="005070FC"/>
    <w:rsid w:val="00507D0D"/>
    <w:rsid w:val="00512A72"/>
    <w:rsid w:val="0051498F"/>
    <w:rsid w:val="00520D76"/>
    <w:rsid w:val="00521E0A"/>
    <w:rsid w:val="005254CC"/>
    <w:rsid w:val="00525873"/>
    <w:rsid w:val="00527169"/>
    <w:rsid w:val="00527E8A"/>
    <w:rsid w:val="00532BF8"/>
    <w:rsid w:val="0053356E"/>
    <w:rsid w:val="00540702"/>
    <w:rsid w:val="005425A2"/>
    <w:rsid w:val="005528D5"/>
    <w:rsid w:val="00560FF5"/>
    <w:rsid w:val="00565085"/>
    <w:rsid w:val="00570BBC"/>
    <w:rsid w:val="00572CD5"/>
    <w:rsid w:val="00574F06"/>
    <w:rsid w:val="00581BB7"/>
    <w:rsid w:val="00581BF7"/>
    <w:rsid w:val="00585E36"/>
    <w:rsid w:val="00586072"/>
    <w:rsid w:val="00586F74"/>
    <w:rsid w:val="00597B00"/>
    <w:rsid w:val="005A6567"/>
    <w:rsid w:val="005A6BAE"/>
    <w:rsid w:val="005B4F00"/>
    <w:rsid w:val="005B53C5"/>
    <w:rsid w:val="005B6D06"/>
    <w:rsid w:val="005C0611"/>
    <w:rsid w:val="005C1DA0"/>
    <w:rsid w:val="005C237F"/>
    <w:rsid w:val="005C63A5"/>
    <w:rsid w:val="005C7B96"/>
    <w:rsid w:val="005D38A5"/>
    <w:rsid w:val="005D3B9E"/>
    <w:rsid w:val="005D5CDA"/>
    <w:rsid w:val="005E0E9F"/>
    <w:rsid w:val="005E4C73"/>
    <w:rsid w:val="005E6BE0"/>
    <w:rsid w:val="005E7954"/>
    <w:rsid w:val="005F3FE1"/>
    <w:rsid w:val="00601E10"/>
    <w:rsid w:val="00602CC3"/>
    <w:rsid w:val="00603DB5"/>
    <w:rsid w:val="006052EE"/>
    <w:rsid w:val="006057BA"/>
    <w:rsid w:val="00607A77"/>
    <w:rsid w:val="006125E5"/>
    <w:rsid w:val="006206F4"/>
    <w:rsid w:val="00625FA3"/>
    <w:rsid w:val="00644D48"/>
    <w:rsid w:val="00644FE3"/>
    <w:rsid w:val="00652C37"/>
    <w:rsid w:val="00654D9E"/>
    <w:rsid w:val="006575B5"/>
    <w:rsid w:val="006614DA"/>
    <w:rsid w:val="00663DC8"/>
    <w:rsid w:val="0066568B"/>
    <w:rsid w:val="0067085E"/>
    <w:rsid w:val="006731FE"/>
    <w:rsid w:val="006832A2"/>
    <w:rsid w:val="006905A6"/>
    <w:rsid w:val="006913C0"/>
    <w:rsid w:val="006930A0"/>
    <w:rsid w:val="006933B9"/>
    <w:rsid w:val="0069645D"/>
    <w:rsid w:val="006A667A"/>
    <w:rsid w:val="006B2F56"/>
    <w:rsid w:val="006B5BA5"/>
    <w:rsid w:val="006B5C5F"/>
    <w:rsid w:val="006C214E"/>
    <w:rsid w:val="006C407C"/>
    <w:rsid w:val="006E3C83"/>
    <w:rsid w:val="006E4BCC"/>
    <w:rsid w:val="006E785F"/>
    <w:rsid w:val="006F3DBA"/>
    <w:rsid w:val="006F555E"/>
    <w:rsid w:val="00701282"/>
    <w:rsid w:val="00701B20"/>
    <w:rsid w:val="00702C21"/>
    <w:rsid w:val="007047B0"/>
    <w:rsid w:val="007075EB"/>
    <w:rsid w:val="00711D6C"/>
    <w:rsid w:val="00712B98"/>
    <w:rsid w:val="00715B00"/>
    <w:rsid w:val="007247C5"/>
    <w:rsid w:val="0072560E"/>
    <w:rsid w:val="00727A42"/>
    <w:rsid w:val="007306D0"/>
    <w:rsid w:val="0075080C"/>
    <w:rsid w:val="00750FF3"/>
    <w:rsid w:val="00751D2E"/>
    <w:rsid w:val="0075489C"/>
    <w:rsid w:val="007624EF"/>
    <w:rsid w:val="007651FB"/>
    <w:rsid w:val="00767F84"/>
    <w:rsid w:val="00774A2B"/>
    <w:rsid w:val="007765E8"/>
    <w:rsid w:val="00776A87"/>
    <w:rsid w:val="00777716"/>
    <w:rsid w:val="00781791"/>
    <w:rsid w:val="007817B4"/>
    <w:rsid w:val="00782D6E"/>
    <w:rsid w:val="00787EFD"/>
    <w:rsid w:val="007917AF"/>
    <w:rsid w:val="007958F0"/>
    <w:rsid w:val="007A2997"/>
    <w:rsid w:val="007A555A"/>
    <w:rsid w:val="007A6310"/>
    <w:rsid w:val="007A75C2"/>
    <w:rsid w:val="007B00B2"/>
    <w:rsid w:val="007B2057"/>
    <w:rsid w:val="007B2A29"/>
    <w:rsid w:val="007B3805"/>
    <w:rsid w:val="007C7521"/>
    <w:rsid w:val="007E0167"/>
    <w:rsid w:val="007E2D30"/>
    <w:rsid w:val="007E3703"/>
    <w:rsid w:val="007E6428"/>
    <w:rsid w:val="007F292D"/>
    <w:rsid w:val="007F4864"/>
    <w:rsid w:val="007F54D8"/>
    <w:rsid w:val="007F648C"/>
    <w:rsid w:val="008077E0"/>
    <w:rsid w:val="008144C3"/>
    <w:rsid w:val="00816450"/>
    <w:rsid w:val="008202DE"/>
    <w:rsid w:val="0082079F"/>
    <w:rsid w:val="008219E1"/>
    <w:rsid w:val="00822A2A"/>
    <w:rsid w:val="008259C1"/>
    <w:rsid w:val="00826991"/>
    <w:rsid w:val="00830C37"/>
    <w:rsid w:val="00830E03"/>
    <w:rsid w:val="008323AD"/>
    <w:rsid w:val="0083628E"/>
    <w:rsid w:val="00841057"/>
    <w:rsid w:val="00843A19"/>
    <w:rsid w:val="00846386"/>
    <w:rsid w:val="0085053C"/>
    <w:rsid w:val="00857B11"/>
    <w:rsid w:val="00861AF8"/>
    <w:rsid w:val="00862575"/>
    <w:rsid w:val="00863948"/>
    <w:rsid w:val="008658CF"/>
    <w:rsid w:val="008763A8"/>
    <w:rsid w:val="00876998"/>
    <w:rsid w:val="008804A0"/>
    <w:rsid w:val="00882403"/>
    <w:rsid w:val="00885D54"/>
    <w:rsid w:val="00897F89"/>
    <w:rsid w:val="008A3FEC"/>
    <w:rsid w:val="008B0FB8"/>
    <w:rsid w:val="008B6E51"/>
    <w:rsid w:val="008C6C7C"/>
    <w:rsid w:val="008C6E5F"/>
    <w:rsid w:val="008C775E"/>
    <w:rsid w:val="008D1A9E"/>
    <w:rsid w:val="008D1EEA"/>
    <w:rsid w:val="008D2341"/>
    <w:rsid w:val="008D4236"/>
    <w:rsid w:val="008D43AB"/>
    <w:rsid w:val="008D523B"/>
    <w:rsid w:val="008D6313"/>
    <w:rsid w:val="008D6F60"/>
    <w:rsid w:val="008E178C"/>
    <w:rsid w:val="008F00E6"/>
    <w:rsid w:val="008F5767"/>
    <w:rsid w:val="008F5BC7"/>
    <w:rsid w:val="009025E6"/>
    <w:rsid w:val="00903849"/>
    <w:rsid w:val="009040C1"/>
    <w:rsid w:val="00907C05"/>
    <w:rsid w:val="00910A70"/>
    <w:rsid w:val="00911636"/>
    <w:rsid w:val="009163BB"/>
    <w:rsid w:val="00922FC6"/>
    <w:rsid w:val="00931115"/>
    <w:rsid w:val="0093282F"/>
    <w:rsid w:val="009407B9"/>
    <w:rsid w:val="00946D4A"/>
    <w:rsid w:val="0095255B"/>
    <w:rsid w:val="00954DD0"/>
    <w:rsid w:val="00960337"/>
    <w:rsid w:val="0096195D"/>
    <w:rsid w:val="0096222D"/>
    <w:rsid w:val="00963A20"/>
    <w:rsid w:val="0096407F"/>
    <w:rsid w:val="0096593B"/>
    <w:rsid w:val="00973147"/>
    <w:rsid w:val="00973179"/>
    <w:rsid w:val="009769B7"/>
    <w:rsid w:val="0098125F"/>
    <w:rsid w:val="009863E7"/>
    <w:rsid w:val="00991A46"/>
    <w:rsid w:val="00992DD3"/>
    <w:rsid w:val="00994E8A"/>
    <w:rsid w:val="009964F1"/>
    <w:rsid w:val="00997711"/>
    <w:rsid w:val="00997900"/>
    <w:rsid w:val="009A1AD6"/>
    <w:rsid w:val="009A451B"/>
    <w:rsid w:val="009B6565"/>
    <w:rsid w:val="009C0CD6"/>
    <w:rsid w:val="009D2D3A"/>
    <w:rsid w:val="009D4253"/>
    <w:rsid w:val="009D6863"/>
    <w:rsid w:val="009E168A"/>
    <w:rsid w:val="009E253E"/>
    <w:rsid w:val="009F2402"/>
    <w:rsid w:val="009F6965"/>
    <w:rsid w:val="00A027F8"/>
    <w:rsid w:val="00A04512"/>
    <w:rsid w:val="00A045C3"/>
    <w:rsid w:val="00A0492D"/>
    <w:rsid w:val="00A12982"/>
    <w:rsid w:val="00A14B58"/>
    <w:rsid w:val="00A157FE"/>
    <w:rsid w:val="00A26E92"/>
    <w:rsid w:val="00A314F7"/>
    <w:rsid w:val="00A3224F"/>
    <w:rsid w:val="00A37F98"/>
    <w:rsid w:val="00A459FF"/>
    <w:rsid w:val="00A46AEB"/>
    <w:rsid w:val="00A56FDD"/>
    <w:rsid w:val="00A61DBF"/>
    <w:rsid w:val="00A61F6A"/>
    <w:rsid w:val="00A66E4E"/>
    <w:rsid w:val="00A71F40"/>
    <w:rsid w:val="00A774A5"/>
    <w:rsid w:val="00A77D9B"/>
    <w:rsid w:val="00A81E73"/>
    <w:rsid w:val="00A902F5"/>
    <w:rsid w:val="00AA212F"/>
    <w:rsid w:val="00AA6640"/>
    <w:rsid w:val="00AA66D3"/>
    <w:rsid w:val="00AA7400"/>
    <w:rsid w:val="00AB06DE"/>
    <w:rsid w:val="00AB564C"/>
    <w:rsid w:val="00AC3D80"/>
    <w:rsid w:val="00AD31A7"/>
    <w:rsid w:val="00AD433A"/>
    <w:rsid w:val="00AE0218"/>
    <w:rsid w:val="00AE6DD1"/>
    <w:rsid w:val="00AF0EF7"/>
    <w:rsid w:val="00AF5C6B"/>
    <w:rsid w:val="00B0016F"/>
    <w:rsid w:val="00B025B0"/>
    <w:rsid w:val="00B21A93"/>
    <w:rsid w:val="00B233DF"/>
    <w:rsid w:val="00B2418C"/>
    <w:rsid w:val="00B257A3"/>
    <w:rsid w:val="00B32546"/>
    <w:rsid w:val="00B35305"/>
    <w:rsid w:val="00B3692C"/>
    <w:rsid w:val="00B45BAD"/>
    <w:rsid w:val="00B60A64"/>
    <w:rsid w:val="00B6125F"/>
    <w:rsid w:val="00B6196C"/>
    <w:rsid w:val="00B66A1C"/>
    <w:rsid w:val="00B7375D"/>
    <w:rsid w:val="00B74062"/>
    <w:rsid w:val="00B74AC6"/>
    <w:rsid w:val="00B80520"/>
    <w:rsid w:val="00B84053"/>
    <w:rsid w:val="00B90462"/>
    <w:rsid w:val="00B906DF"/>
    <w:rsid w:val="00B924B1"/>
    <w:rsid w:val="00B94168"/>
    <w:rsid w:val="00B9785F"/>
    <w:rsid w:val="00BA11C3"/>
    <w:rsid w:val="00BA17CD"/>
    <w:rsid w:val="00BA25D7"/>
    <w:rsid w:val="00BA2D69"/>
    <w:rsid w:val="00BA3006"/>
    <w:rsid w:val="00BA4A04"/>
    <w:rsid w:val="00BB6A65"/>
    <w:rsid w:val="00BC5AC5"/>
    <w:rsid w:val="00BD1C8F"/>
    <w:rsid w:val="00BD4618"/>
    <w:rsid w:val="00BD4DA9"/>
    <w:rsid w:val="00BD5487"/>
    <w:rsid w:val="00BD76F3"/>
    <w:rsid w:val="00BE1549"/>
    <w:rsid w:val="00BE2203"/>
    <w:rsid w:val="00BE28EF"/>
    <w:rsid w:val="00BE5558"/>
    <w:rsid w:val="00BE733E"/>
    <w:rsid w:val="00BF10F4"/>
    <w:rsid w:val="00BF4B0C"/>
    <w:rsid w:val="00BF6254"/>
    <w:rsid w:val="00BF70A3"/>
    <w:rsid w:val="00C01D58"/>
    <w:rsid w:val="00C03AFD"/>
    <w:rsid w:val="00C061B3"/>
    <w:rsid w:val="00C0702D"/>
    <w:rsid w:val="00C1034B"/>
    <w:rsid w:val="00C10388"/>
    <w:rsid w:val="00C151A1"/>
    <w:rsid w:val="00C16790"/>
    <w:rsid w:val="00C207FB"/>
    <w:rsid w:val="00C21875"/>
    <w:rsid w:val="00C23A6D"/>
    <w:rsid w:val="00C304ED"/>
    <w:rsid w:val="00C30858"/>
    <w:rsid w:val="00C31FA4"/>
    <w:rsid w:val="00C36EC9"/>
    <w:rsid w:val="00C413D5"/>
    <w:rsid w:val="00C41664"/>
    <w:rsid w:val="00C41D4C"/>
    <w:rsid w:val="00C43F0B"/>
    <w:rsid w:val="00C44436"/>
    <w:rsid w:val="00C454DC"/>
    <w:rsid w:val="00C548A2"/>
    <w:rsid w:val="00C569C3"/>
    <w:rsid w:val="00C57A3A"/>
    <w:rsid w:val="00C610A4"/>
    <w:rsid w:val="00C622E4"/>
    <w:rsid w:val="00C635AC"/>
    <w:rsid w:val="00C6381B"/>
    <w:rsid w:val="00C66A63"/>
    <w:rsid w:val="00C72524"/>
    <w:rsid w:val="00C72649"/>
    <w:rsid w:val="00C729B1"/>
    <w:rsid w:val="00C72E93"/>
    <w:rsid w:val="00C7667A"/>
    <w:rsid w:val="00C87414"/>
    <w:rsid w:val="00C90899"/>
    <w:rsid w:val="00C91011"/>
    <w:rsid w:val="00CB38F0"/>
    <w:rsid w:val="00CB4017"/>
    <w:rsid w:val="00CB4C07"/>
    <w:rsid w:val="00CB612D"/>
    <w:rsid w:val="00CD1612"/>
    <w:rsid w:val="00CD3D67"/>
    <w:rsid w:val="00CD470C"/>
    <w:rsid w:val="00CE03EC"/>
    <w:rsid w:val="00CE5F9D"/>
    <w:rsid w:val="00CF0374"/>
    <w:rsid w:val="00CF18E1"/>
    <w:rsid w:val="00CF2470"/>
    <w:rsid w:val="00CF2C45"/>
    <w:rsid w:val="00CF7A74"/>
    <w:rsid w:val="00CF7D9B"/>
    <w:rsid w:val="00D052C3"/>
    <w:rsid w:val="00D07AE8"/>
    <w:rsid w:val="00D1052F"/>
    <w:rsid w:val="00D10804"/>
    <w:rsid w:val="00D17E60"/>
    <w:rsid w:val="00D21B4D"/>
    <w:rsid w:val="00D230C0"/>
    <w:rsid w:val="00D236F8"/>
    <w:rsid w:val="00D2530F"/>
    <w:rsid w:val="00D31EA0"/>
    <w:rsid w:val="00D37B97"/>
    <w:rsid w:val="00D4146A"/>
    <w:rsid w:val="00D41D64"/>
    <w:rsid w:val="00D44B87"/>
    <w:rsid w:val="00D50372"/>
    <w:rsid w:val="00D556D0"/>
    <w:rsid w:val="00D61147"/>
    <w:rsid w:val="00D6198C"/>
    <w:rsid w:val="00D621FE"/>
    <w:rsid w:val="00D64098"/>
    <w:rsid w:val="00D70701"/>
    <w:rsid w:val="00D730F0"/>
    <w:rsid w:val="00DA2252"/>
    <w:rsid w:val="00DA4A47"/>
    <w:rsid w:val="00DB45A2"/>
    <w:rsid w:val="00DB7065"/>
    <w:rsid w:val="00DB7837"/>
    <w:rsid w:val="00DB7902"/>
    <w:rsid w:val="00DC0724"/>
    <w:rsid w:val="00DC0DA6"/>
    <w:rsid w:val="00DC5A45"/>
    <w:rsid w:val="00DE61CC"/>
    <w:rsid w:val="00E007D4"/>
    <w:rsid w:val="00E068A7"/>
    <w:rsid w:val="00E07C8E"/>
    <w:rsid w:val="00E11F2B"/>
    <w:rsid w:val="00E1250C"/>
    <w:rsid w:val="00E136D8"/>
    <w:rsid w:val="00E145C3"/>
    <w:rsid w:val="00E14F98"/>
    <w:rsid w:val="00E15337"/>
    <w:rsid w:val="00E21ACC"/>
    <w:rsid w:val="00E262E3"/>
    <w:rsid w:val="00E27402"/>
    <w:rsid w:val="00E30762"/>
    <w:rsid w:val="00E30AD2"/>
    <w:rsid w:val="00E3211E"/>
    <w:rsid w:val="00E33289"/>
    <w:rsid w:val="00E34EBF"/>
    <w:rsid w:val="00E41552"/>
    <w:rsid w:val="00E44517"/>
    <w:rsid w:val="00E44D7D"/>
    <w:rsid w:val="00E46266"/>
    <w:rsid w:val="00E551A6"/>
    <w:rsid w:val="00E566C8"/>
    <w:rsid w:val="00E56B1A"/>
    <w:rsid w:val="00E5798E"/>
    <w:rsid w:val="00E607CB"/>
    <w:rsid w:val="00E61AE6"/>
    <w:rsid w:val="00E63BAB"/>
    <w:rsid w:val="00E66BC4"/>
    <w:rsid w:val="00E7536B"/>
    <w:rsid w:val="00E75538"/>
    <w:rsid w:val="00E80160"/>
    <w:rsid w:val="00E84B27"/>
    <w:rsid w:val="00E858F0"/>
    <w:rsid w:val="00E875CD"/>
    <w:rsid w:val="00E878F9"/>
    <w:rsid w:val="00E87FBA"/>
    <w:rsid w:val="00E9006D"/>
    <w:rsid w:val="00E90E39"/>
    <w:rsid w:val="00E92667"/>
    <w:rsid w:val="00E94D91"/>
    <w:rsid w:val="00EA2D7F"/>
    <w:rsid w:val="00EA6B88"/>
    <w:rsid w:val="00EB4E14"/>
    <w:rsid w:val="00EC1D81"/>
    <w:rsid w:val="00ED040B"/>
    <w:rsid w:val="00ED448F"/>
    <w:rsid w:val="00EE1ADC"/>
    <w:rsid w:val="00EE2607"/>
    <w:rsid w:val="00EE277C"/>
    <w:rsid w:val="00EE3486"/>
    <w:rsid w:val="00EF28D3"/>
    <w:rsid w:val="00EF2E21"/>
    <w:rsid w:val="00F0506F"/>
    <w:rsid w:val="00F05985"/>
    <w:rsid w:val="00F10593"/>
    <w:rsid w:val="00F13838"/>
    <w:rsid w:val="00F140EB"/>
    <w:rsid w:val="00F167FC"/>
    <w:rsid w:val="00F25906"/>
    <w:rsid w:val="00F26F39"/>
    <w:rsid w:val="00F340FA"/>
    <w:rsid w:val="00F4067C"/>
    <w:rsid w:val="00F427B1"/>
    <w:rsid w:val="00F44081"/>
    <w:rsid w:val="00F47446"/>
    <w:rsid w:val="00F4760C"/>
    <w:rsid w:val="00F50BFE"/>
    <w:rsid w:val="00F62AC4"/>
    <w:rsid w:val="00F65B4E"/>
    <w:rsid w:val="00F73CC1"/>
    <w:rsid w:val="00F779EC"/>
    <w:rsid w:val="00F82A47"/>
    <w:rsid w:val="00FA60A9"/>
    <w:rsid w:val="00FB03C2"/>
    <w:rsid w:val="00FB46AD"/>
    <w:rsid w:val="00FB7E51"/>
    <w:rsid w:val="00FC1D8A"/>
    <w:rsid w:val="00FE2B3F"/>
    <w:rsid w:val="00FE6C5C"/>
    <w:rsid w:val="00FE788E"/>
    <w:rsid w:val="00FF0B3A"/>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DA4A47"/>
    <w:pPr>
      <w:overflowPunct/>
      <w:adjustRightInd/>
      <w:ind w:left="-86"/>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DA4A47"/>
    <w:pPr>
      <w:overflowPunct/>
      <w:adjustRightInd/>
      <w:ind w:left="-86"/>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42">
      <w:bodyDiv w:val="1"/>
      <w:marLeft w:val="0"/>
      <w:marRight w:val="0"/>
      <w:marTop w:val="0"/>
      <w:marBottom w:val="0"/>
      <w:divBdr>
        <w:top w:val="none" w:sz="0" w:space="0" w:color="auto"/>
        <w:left w:val="none" w:sz="0" w:space="0" w:color="auto"/>
        <w:bottom w:val="none" w:sz="0" w:space="0" w:color="auto"/>
        <w:right w:val="none" w:sz="0" w:space="0" w:color="auto"/>
      </w:divBdr>
    </w:div>
    <w:div w:id="315457202">
      <w:bodyDiv w:val="1"/>
      <w:marLeft w:val="0"/>
      <w:marRight w:val="0"/>
      <w:marTop w:val="0"/>
      <w:marBottom w:val="0"/>
      <w:divBdr>
        <w:top w:val="none" w:sz="0" w:space="0" w:color="auto"/>
        <w:left w:val="none" w:sz="0" w:space="0" w:color="auto"/>
        <w:bottom w:val="none" w:sz="0" w:space="0" w:color="auto"/>
        <w:right w:val="none" w:sz="0" w:space="0" w:color="auto"/>
      </w:divBdr>
    </w:div>
    <w:div w:id="1717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A140-5DF6-439B-97F0-0DC455F9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5</Pages>
  <Words>1505</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2</cp:revision>
  <cp:lastPrinted>2013-06-03T19:07:00Z</cp:lastPrinted>
  <dcterms:created xsi:type="dcterms:W3CDTF">2013-06-07T01:11:00Z</dcterms:created>
  <dcterms:modified xsi:type="dcterms:W3CDTF">2013-06-07T01:11:00Z</dcterms:modified>
</cp:coreProperties>
</file>