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Title 40, Social Services &amp; Assistance, Part 19, Dept. of Family and Protective Services</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Chapter 745, Licensing</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Subchapter E, Fees</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TAC Section Number(s) §745.505</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915DC4">
        <w:rPr>
          <w:rFonts w:eastAsia="Times New Roman" w:cs="Arial"/>
          <w:sz w:val="24"/>
        </w:rPr>
        <w:t>Final Action</w:t>
      </w: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915DC4">
        <w:rPr>
          <w:rFonts w:eastAsia="Times New Roman" w:cs="Arial"/>
          <w:sz w:val="24"/>
        </w:rPr>
        <w:t>201602212</w:t>
      </w:r>
      <w:r w:rsidRPr="00915DC4">
        <w:rPr>
          <w:rFonts w:eastAsia="Times New Roman" w:cs="Arial"/>
          <w:sz w:val="24"/>
        </w:rPr>
        <w:tab/>
        <w:t>TRD Docket Number</w:t>
      </w: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915DC4">
        <w:rPr>
          <w:rFonts w:eastAsia="Times New Roman" w:cs="Arial"/>
          <w:sz w:val="24"/>
        </w:rPr>
        <w:tab/>
      </w:r>
      <w:r w:rsidRPr="00915DC4">
        <w:rPr>
          <w:rFonts w:eastAsia="Times New Roman" w:cs="Arial"/>
          <w:sz w:val="24"/>
        </w:rPr>
        <w:tab/>
      </w:r>
      <w:r w:rsidRPr="00915DC4">
        <w:rPr>
          <w:rFonts w:eastAsia="Times New Roman" w:cs="Arial"/>
          <w:sz w:val="24"/>
        </w:rPr>
        <w:tab/>
      </w:r>
      <w:r w:rsidRPr="00915DC4">
        <w:rPr>
          <w:rFonts w:eastAsia="Times New Roman" w:cs="Arial"/>
          <w:sz w:val="24"/>
        </w:rPr>
        <w:tab/>
        <w:t>For Proposed Action</w:t>
      </w:r>
    </w:p>
    <w:p w:rsidR="00915DC4" w:rsidRPr="00915DC4" w:rsidRDefault="00915DC4" w:rsidP="00915DC4">
      <w:pPr>
        <w:widowControl w:val="0"/>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915DC4">
        <w:rPr>
          <w:rFonts w:eastAsia="Times New Roman" w:cs="Arial"/>
          <w:sz w:val="24"/>
        </w:rPr>
        <w:t>5/20/16</w:t>
      </w:r>
      <w:r w:rsidRPr="00915DC4">
        <w:rPr>
          <w:rFonts w:eastAsia="Times New Roman" w:cs="Arial"/>
          <w:sz w:val="24"/>
        </w:rPr>
        <w:tab/>
      </w:r>
      <w:r w:rsidRPr="00915DC4">
        <w:rPr>
          <w:rFonts w:eastAsia="Times New Roman" w:cs="Arial"/>
          <w:sz w:val="24"/>
        </w:rPr>
        <w:tab/>
        <w:t>Proposed Action</w:t>
      </w: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915DC4">
        <w:rPr>
          <w:rFonts w:eastAsia="Times New Roman" w:cs="Arial"/>
          <w:sz w:val="24"/>
        </w:rPr>
        <w:tab/>
      </w:r>
      <w:r w:rsidRPr="00915DC4">
        <w:rPr>
          <w:rFonts w:eastAsia="Times New Roman" w:cs="Arial"/>
          <w:sz w:val="24"/>
        </w:rPr>
        <w:tab/>
      </w:r>
      <w:r w:rsidRPr="00915DC4">
        <w:rPr>
          <w:rFonts w:eastAsia="Times New Roman" w:cs="Arial"/>
          <w:sz w:val="24"/>
        </w:rPr>
        <w:tab/>
      </w:r>
      <w:r w:rsidRPr="00915DC4">
        <w:rPr>
          <w:rFonts w:eastAsia="Times New Roman" w:cs="Arial"/>
          <w:sz w:val="24"/>
        </w:rPr>
        <w:tab/>
        <w:t>Publication Date</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X</w:t>
      </w:r>
      <w:r w:rsidRPr="00915DC4">
        <w:rPr>
          <w:rFonts w:eastAsia="Times New Roman" w:cs="Arial"/>
          <w:sz w:val="24"/>
          <w:szCs w:val="24"/>
        </w:rPr>
        <w:tab/>
      </w:r>
      <w:r w:rsidRPr="00915DC4">
        <w:rPr>
          <w:rFonts w:eastAsia="Times New Roman" w:cs="Arial"/>
          <w:sz w:val="24"/>
          <w:szCs w:val="24"/>
        </w:rPr>
        <w:tab/>
      </w:r>
      <w:r w:rsidRPr="00915DC4">
        <w:rPr>
          <w:rFonts w:eastAsia="Times New Roman" w:cs="Arial"/>
          <w:sz w:val="24"/>
          <w:szCs w:val="24"/>
        </w:rPr>
        <w:tab/>
      </w:r>
      <w:r w:rsidRPr="00915DC4">
        <w:rPr>
          <w:rFonts w:eastAsia="Times New Roman" w:cs="Arial"/>
          <w:sz w:val="24"/>
          <w:szCs w:val="24"/>
        </w:rPr>
        <w:tab/>
        <w:t>Amendment</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915DC4">
        <w:rPr>
          <w:rFonts w:eastAsia="Times New Roman" w:cs="Arial"/>
          <w:sz w:val="24"/>
        </w:rPr>
        <w:t>X</w:t>
      </w:r>
      <w:r w:rsidRPr="00915DC4">
        <w:rPr>
          <w:rFonts w:eastAsia="Times New Roman" w:cs="Arial"/>
          <w:sz w:val="24"/>
        </w:rPr>
        <w:tab/>
      </w:r>
      <w:r w:rsidRPr="00915DC4">
        <w:rPr>
          <w:rFonts w:eastAsia="Times New Roman" w:cs="Arial"/>
          <w:sz w:val="24"/>
        </w:rPr>
        <w:tab/>
      </w:r>
      <w:r w:rsidRPr="00915DC4">
        <w:rPr>
          <w:rFonts w:eastAsia="Times New Roman" w:cs="Arial"/>
          <w:sz w:val="24"/>
        </w:rPr>
        <w:tab/>
      </w:r>
      <w:r w:rsidRPr="00915DC4">
        <w:rPr>
          <w:rFonts w:eastAsia="Times New Roman" w:cs="Arial"/>
          <w:sz w:val="24"/>
        </w:rPr>
        <w:tab/>
        <w:t>Adopted Without Changes</w:t>
      </w:r>
    </w:p>
    <w:p w:rsidR="00915DC4" w:rsidRPr="00915DC4" w:rsidRDefault="00915DC4" w:rsidP="00915DC4">
      <w:pPr>
        <w:widowControl w:val="0"/>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915DC4">
        <w:rPr>
          <w:rFonts w:eastAsia="Times New Roman" w:cs="Arial"/>
          <w:sz w:val="24"/>
        </w:rPr>
        <w:t>Effective Date:</w:t>
      </w: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915DC4">
        <w:rPr>
          <w:rFonts w:eastAsia="Times New Roman" w:cs="Arial"/>
          <w:sz w:val="24"/>
        </w:rPr>
        <w:t>X</w:t>
      </w:r>
      <w:r w:rsidRPr="00915DC4">
        <w:rPr>
          <w:rFonts w:eastAsia="Times New Roman" w:cs="Arial"/>
          <w:sz w:val="24"/>
        </w:rPr>
        <w:tab/>
      </w:r>
      <w:r w:rsidRPr="00915DC4">
        <w:rPr>
          <w:rFonts w:eastAsia="Times New Roman" w:cs="Arial"/>
          <w:sz w:val="24"/>
        </w:rPr>
        <w:tab/>
      </w:r>
      <w:r w:rsidRPr="00915DC4">
        <w:rPr>
          <w:rFonts w:eastAsia="Times New Roman" w:cs="Arial"/>
          <w:sz w:val="24"/>
        </w:rPr>
        <w:tab/>
      </w:r>
      <w:r w:rsidRPr="00915DC4">
        <w:rPr>
          <w:rFonts w:eastAsia="Times New Roman" w:cs="Arial"/>
          <w:sz w:val="24"/>
        </w:rPr>
        <w:tab/>
        <w:t>Other (Specify)</w:t>
      </w: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915DC4">
        <w:rPr>
          <w:rFonts w:eastAsia="Times New Roman" w:cs="Arial"/>
          <w:sz w:val="24"/>
        </w:rPr>
        <w:tab/>
      </w:r>
      <w:r w:rsidRPr="00915DC4">
        <w:rPr>
          <w:rFonts w:eastAsia="Times New Roman" w:cs="Arial"/>
          <w:sz w:val="24"/>
        </w:rPr>
        <w:tab/>
      </w:r>
      <w:r w:rsidRPr="00915DC4">
        <w:rPr>
          <w:rFonts w:eastAsia="Times New Roman" w:cs="Arial"/>
          <w:sz w:val="24"/>
        </w:rPr>
        <w:tab/>
      </w:r>
      <w:r w:rsidRPr="00915DC4">
        <w:rPr>
          <w:rFonts w:eastAsia="Times New Roman" w:cs="Arial"/>
          <w:sz w:val="24"/>
        </w:rPr>
        <w:tab/>
        <w:t>December 1, 2016</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b/>
        <w:t xml:space="preserve">The amendment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b/>
      </w:r>
    </w:p>
    <w:p w:rsidR="00915DC4" w:rsidRPr="00915DC4" w:rsidRDefault="00915DC4" w:rsidP="00915DC4">
      <w:pPr>
        <w:tabs>
          <w:tab w:val="left" w:pos="360"/>
        </w:tabs>
        <w:autoSpaceDE w:val="0"/>
        <w:autoSpaceDN w:val="0"/>
        <w:spacing w:after="0" w:line="240" w:lineRule="auto"/>
        <w:rPr>
          <w:rFonts w:eastAsia="Times New Roman" w:cs="Arial"/>
          <w:spacing w:val="-3"/>
          <w:sz w:val="24"/>
          <w:szCs w:val="24"/>
        </w:rPr>
      </w:pPr>
      <w:r w:rsidRPr="00915DC4">
        <w:rPr>
          <w:rFonts w:eastAsia="Times New Roman" w:cs="Arial"/>
          <w:spacing w:val="-3"/>
          <w:sz w:val="24"/>
          <w:szCs w:val="24"/>
        </w:rPr>
        <w:tab/>
        <w:t xml:space="preserve">The amendment implements </w:t>
      </w:r>
      <w:r w:rsidRPr="00915DC4">
        <w:rPr>
          <w:rFonts w:eastAsia="Times New Roman" w:cs="Arial"/>
          <w:iCs/>
          <w:spacing w:val="-3"/>
          <w:sz w:val="24"/>
          <w:szCs w:val="24"/>
        </w:rPr>
        <w:t xml:space="preserve">HRC </w:t>
      </w:r>
      <w:r w:rsidRPr="00915DC4">
        <w:rPr>
          <w:rFonts w:eastAsia="Times New Roman" w:cs="Arial"/>
          <w:spacing w:val="-3"/>
          <w:sz w:val="24"/>
          <w:szCs w:val="24"/>
        </w:rPr>
        <w:t xml:space="preserve">§§42.042, 42.0421, 42.0523, and 42.056 and portions of the Child Care and Development Block Grant Act of 2014, which </w:t>
      </w:r>
      <w:r w:rsidRPr="00915DC4">
        <w:rPr>
          <w:rFonts w:eastAsia="Times New Roman" w:cs="Arial"/>
          <w:spacing w:val="-3"/>
          <w:sz w:val="24"/>
          <w:szCs w:val="24"/>
          <w:lang w:val="en"/>
        </w:rPr>
        <w:t>is codified in 42 USC §9857 et seq</w:t>
      </w:r>
      <w:r w:rsidRPr="00915DC4">
        <w:rPr>
          <w:rFonts w:eastAsia="Times New Roman" w:cs="Arial"/>
          <w:spacing w:val="-3"/>
          <w:sz w:val="24"/>
          <w:szCs w:val="24"/>
        </w:rPr>
        <w:t>.</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§745.505. What fees must I pay to list my family home and maintain the listing?</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b/>
        <w:t xml:space="preserve">(a) The following chart contains the fees required for listed family homes, when the fees are due, and the consequences for failure to pay the fees on time: </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bCs/>
          <w:sz w:val="24"/>
          <w:szCs w:val="24"/>
        </w:rPr>
      </w:pPr>
    </w:p>
    <w:tbl>
      <w:tblPr>
        <w:tblW w:w="808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92"/>
        <w:gridCol w:w="2970"/>
      </w:tblGrid>
      <w:tr w:rsidR="00915DC4" w:rsidRPr="00915DC4" w:rsidTr="000716E9">
        <w:tc>
          <w:tcPr>
            <w:tcW w:w="2520" w:type="dxa"/>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Type and Amount</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of Fee</w:t>
            </w:r>
          </w:p>
        </w:tc>
        <w:tc>
          <w:tcPr>
            <w:tcW w:w="2592" w:type="dxa"/>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 xml:space="preserve">When the Fee is Due </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tc>
        <w:tc>
          <w:tcPr>
            <w:tcW w:w="2970" w:type="dxa"/>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Consequences for Failure to Pay Fee on Time</w:t>
            </w:r>
          </w:p>
        </w:tc>
      </w:tr>
      <w:tr w:rsidR="00915DC4" w:rsidRPr="00915DC4" w:rsidTr="000716E9">
        <w:tc>
          <w:tcPr>
            <w:tcW w:w="2520" w:type="dxa"/>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(1) Application/request processing fee: $20</w:t>
            </w:r>
          </w:p>
        </w:tc>
        <w:tc>
          <w:tcPr>
            <w:tcW w:w="2592" w:type="dxa"/>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Before we accept your application/request for a listing</w:t>
            </w:r>
          </w:p>
        </w:tc>
        <w:tc>
          <w:tcPr>
            <w:tcW w:w="2970" w:type="dxa"/>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We will return your application/request as incomplete.</w:t>
            </w:r>
          </w:p>
        </w:tc>
      </w:tr>
      <w:tr w:rsidR="00915DC4" w:rsidRPr="00915DC4" w:rsidTr="000716E9">
        <w:tc>
          <w:tcPr>
            <w:tcW w:w="2520" w:type="dxa"/>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 xml:space="preserve">(2) Annual listing fee: </w:t>
            </w:r>
            <w:r w:rsidRPr="00915DC4">
              <w:rPr>
                <w:rFonts w:eastAsia="Times New Roman" w:cs="Arial"/>
                <w:sz w:val="24"/>
                <w:szCs w:val="24"/>
              </w:rPr>
              <w:lastRenderedPageBreak/>
              <w:t>$20</w:t>
            </w:r>
          </w:p>
        </w:tc>
        <w:tc>
          <w:tcPr>
            <w:tcW w:w="2592" w:type="dxa"/>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lastRenderedPageBreak/>
              <w:t xml:space="preserve">On the anniversary </w:t>
            </w:r>
            <w:r w:rsidRPr="00915DC4">
              <w:rPr>
                <w:rFonts w:eastAsia="Times New Roman" w:cs="Arial"/>
                <w:sz w:val="24"/>
                <w:szCs w:val="24"/>
              </w:rPr>
              <w:lastRenderedPageBreak/>
              <w:t>date of your listing</w:t>
            </w:r>
          </w:p>
        </w:tc>
        <w:tc>
          <w:tcPr>
            <w:tcW w:w="2970" w:type="dxa"/>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lastRenderedPageBreak/>
              <w:t xml:space="preserve">If you do not pay your fee </w:t>
            </w:r>
            <w:r w:rsidRPr="00915DC4">
              <w:rPr>
                <w:rFonts w:eastAsia="Times New Roman" w:cs="Arial"/>
                <w:sz w:val="24"/>
                <w:szCs w:val="24"/>
              </w:rPr>
              <w:lastRenderedPageBreak/>
              <w:t>when it is due, your listing is automatically suspended until you pay your fee. If you do not pay your fee within six months of when your suspension begins, your license is automatically revoked.</w:t>
            </w:r>
          </w:p>
        </w:tc>
      </w:tr>
      <w:tr w:rsidR="00915DC4" w:rsidRPr="00915DC4" w:rsidTr="000716E9">
        <w:tc>
          <w:tcPr>
            <w:tcW w:w="2520" w:type="dxa"/>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lastRenderedPageBreak/>
              <w:t>(3) Background Check fee: $2 per person</w:t>
            </w:r>
          </w:p>
        </w:tc>
        <w:tc>
          <w:tcPr>
            <w:tcW w:w="2592" w:type="dxa"/>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At the time you request a background check or on a monthly or quarterly basis</w:t>
            </w:r>
          </w:p>
        </w:tc>
        <w:tc>
          <w:tcPr>
            <w:tcW w:w="2970" w:type="dxa"/>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We may suspend or revoke your listing.</w:t>
            </w:r>
          </w:p>
        </w:tc>
      </w:tr>
    </w:tbl>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b/>
        <w:t xml:space="preserve">(b) </w:t>
      </w:r>
      <w:r w:rsidRPr="00915DC4">
        <w:rPr>
          <w:rFonts w:eastAsia="Times New Roman" w:cs="Arial"/>
          <w:color w:val="000000"/>
          <w:sz w:val="24"/>
          <w:szCs w:val="24"/>
        </w:rPr>
        <w:t>The fees listed in subsection (a) of this section are waived for a person with a listing who only provides child care to a related child in the child's own home as approved by the Texas Workforce Commission's Listed Family Home Fee Waiver Authorization form.</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b/>
        <w:t>This agency certifies that legal counsel has reviewed the adoption and found it to be within the state agency's legal authority to adopt.</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b/>
        <w:t xml:space="preserve">Issued in Austin, Texas, on </w:t>
      </w:r>
      <w:r w:rsidRPr="00915DC4">
        <w:rPr>
          <w:rFonts w:eastAsia="Times New Roman" w:cs="Arial"/>
          <w:sz w:val="24"/>
          <w:szCs w:val="24"/>
        </w:rPr>
        <w:tab/>
      </w:r>
      <w:r w:rsidRPr="00915DC4">
        <w:rPr>
          <w:rFonts w:eastAsia="Times New Roman" w:cs="Arial"/>
          <w:sz w:val="24"/>
          <w:szCs w:val="24"/>
          <w:u w:val="single"/>
        </w:rPr>
        <w:t xml:space="preserve">                         </w:t>
      </w:r>
      <w:r w:rsidRPr="00915DC4">
        <w:rPr>
          <w:rFonts w:eastAsia="Times New Roman" w:cs="Arial"/>
          <w:sz w:val="24"/>
          <w:szCs w:val="24"/>
        </w:rPr>
        <w:t>.</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Title 40, Social Services &amp; Assistance, Part 19, Dept. of Family and Protective Services</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Chapter 745, Licensing</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Subchapter F, Background Checks</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Division 2, Requesting Background Checks</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TAC Section Number(s) §§745.615, 745.616</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915DC4">
        <w:rPr>
          <w:rFonts w:eastAsia="Times New Roman" w:cs="Arial"/>
          <w:sz w:val="24"/>
        </w:rPr>
        <w:t>Final Action</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915DC4">
        <w:rPr>
          <w:rFonts w:eastAsia="Times New Roman" w:cs="Arial"/>
          <w:sz w:val="24"/>
        </w:rPr>
        <w:t>201602213</w:t>
      </w:r>
      <w:r w:rsidRPr="00915DC4">
        <w:rPr>
          <w:rFonts w:eastAsia="Times New Roman" w:cs="Arial"/>
          <w:sz w:val="24"/>
        </w:rPr>
        <w:tab/>
        <w:t>TRD Docket Number</w:t>
      </w: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915DC4">
        <w:rPr>
          <w:rFonts w:eastAsia="Times New Roman" w:cs="Arial"/>
          <w:sz w:val="24"/>
        </w:rPr>
        <w:tab/>
      </w:r>
      <w:r w:rsidRPr="00915DC4">
        <w:rPr>
          <w:rFonts w:eastAsia="Times New Roman" w:cs="Arial"/>
          <w:sz w:val="24"/>
        </w:rPr>
        <w:tab/>
      </w:r>
      <w:r w:rsidRPr="00915DC4">
        <w:rPr>
          <w:rFonts w:eastAsia="Times New Roman" w:cs="Arial"/>
          <w:sz w:val="24"/>
        </w:rPr>
        <w:tab/>
      </w:r>
      <w:r w:rsidRPr="00915DC4">
        <w:rPr>
          <w:rFonts w:eastAsia="Times New Roman" w:cs="Arial"/>
          <w:sz w:val="24"/>
        </w:rPr>
        <w:tab/>
        <w:t>For Proposed Action</w:t>
      </w:r>
    </w:p>
    <w:p w:rsidR="00915DC4" w:rsidRPr="00915DC4" w:rsidRDefault="00915DC4" w:rsidP="00915DC4">
      <w:pPr>
        <w:widowControl w:val="0"/>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915DC4">
        <w:rPr>
          <w:rFonts w:eastAsia="Times New Roman" w:cs="Arial"/>
          <w:sz w:val="24"/>
        </w:rPr>
        <w:t>5/20/16</w:t>
      </w:r>
      <w:r w:rsidRPr="00915DC4">
        <w:rPr>
          <w:rFonts w:eastAsia="Times New Roman" w:cs="Arial"/>
          <w:sz w:val="24"/>
        </w:rPr>
        <w:tab/>
      </w:r>
      <w:r w:rsidRPr="00915DC4">
        <w:rPr>
          <w:rFonts w:eastAsia="Times New Roman" w:cs="Arial"/>
          <w:sz w:val="24"/>
        </w:rPr>
        <w:tab/>
        <w:t>Proposed Action</w:t>
      </w: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915DC4">
        <w:rPr>
          <w:rFonts w:eastAsia="Times New Roman" w:cs="Arial"/>
          <w:sz w:val="24"/>
        </w:rPr>
        <w:tab/>
      </w:r>
      <w:r w:rsidRPr="00915DC4">
        <w:rPr>
          <w:rFonts w:eastAsia="Times New Roman" w:cs="Arial"/>
          <w:sz w:val="24"/>
        </w:rPr>
        <w:tab/>
      </w:r>
      <w:r w:rsidRPr="00915DC4">
        <w:rPr>
          <w:rFonts w:eastAsia="Times New Roman" w:cs="Arial"/>
          <w:sz w:val="24"/>
        </w:rPr>
        <w:tab/>
      </w:r>
      <w:r w:rsidRPr="00915DC4">
        <w:rPr>
          <w:rFonts w:eastAsia="Times New Roman" w:cs="Arial"/>
          <w:sz w:val="24"/>
        </w:rPr>
        <w:tab/>
        <w:t>Publication Date</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X</w:t>
      </w:r>
      <w:r w:rsidRPr="00915DC4">
        <w:rPr>
          <w:rFonts w:eastAsia="Times New Roman" w:cs="Arial"/>
          <w:sz w:val="24"/>
          <w:szCs w:val="24"/>
        </w:rPr>
        <w:tab/>
      </w:r>
      <w:r w:rsidRPr="00915DC4">
        <w:rPr>
          <w:rFonts w:eastAsia="Times New Roman" w:cs="Arial"/>
          <w:sz w:val="24"/>
          <w:szCs w:val="24"/>
        </w:rPr>
        <w:tab/>
      </w:r>
      <w:r w:rsidRPr="00915DC4">
        <w:rPr>
          <w:rFonts w:eastAsia="Times New Roman" w:cs="Arial"/>
          <w:sz w:val="24"/>
          <w:szCs w:val="24"/>
        </w:rPr>
        <w:tab/>
      </w:r>
      <w:r w:rsidRPr="00915DC4">
        <w:rPr>
          <w:rFonts w:eastAsia="Times New Roman" w:cs="Arial"/>
          <w:sz w:val="24"/>
          <w:szCs w:val="24"/>
        </w:rPr>
        <w:tab/>
        <w:t>Amendment</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X</w:t>
      </w:r>
      <w:r w:rsidRPr="00915DC4">
        <w:rPr>
          <w:rFonts w:eastAsia="Times New Roman" w:cs="Arial"/>
          <w:sz w:val="24"/>
          <w:szCs w:val="24"/>
        </w:rPr>
        <w:tab/>
      </w:r>
      <w:r w:rsidRPr="00915DC4">
        <w:rPr>
          <w:rFonts w:eastAsia="Times New Roman" w:cs="Arial"/>
          <w:sz w:val="24"/>
          <w:szCs w:val="24"/>
        </w:rPr>
        <w:tab/>
      </w:r>
      <w:r w:rsidRPr="00915DC4">
        <w:rPr>
          <w:rFonts w:eastAsia="Times New Roman" w:cs="Arial"/>
          <w:sz w:val="24"/>
          <w:szCs w:val="24"/>
        </w:rPr>
        <w:tab/>
      </w:r>
      <w:r w:rsidRPr="00915DC4">
        <w:rPr>
          <w:rFonts w:eastAsia="Times New Roman" w:cs="Arial"/>
          <w:sz w:val="24"/>
          <w:szCs w:val="24"/>
        </w:rPr>
        <w:tab/>
        <w:t>New</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915DC4">
        <w:rPr>
          <w:rFonts w:eastAsia="Times New Roman" w:cs="Arial"/>
          <w:sz w:val="24"/>
        </w:rPr>
        <w:t>X</w:t>
      </w:r>
      <w:r w:rsidRPr="00915DC4">
        <w:rPr>
          <w:rFonts w:eastAsia="Times New Roman" w:cs="Arial"/>
          <w:sz w:val="24"/>
        </w:rPr>
        <w:tab/>
      </w:r>
      <w:r w:rsidRPr="00915DC4">
        <w:rPr>
          <w:rFonts w:eastAsia="Times New Roman" w:cs="Arial"/>
          <w:sz w:val="24"/>
        </w:rPr>
        <w:tab/>
      </w:r>
      <w:r w:rsidRPr="00915DC4">
        <w:rPr>
          <w:rFonts w:eastAsia="Times New Roman" w:cs="Arial"/>
          <w:sz w:val="24"/>
        </w:rPr>
        <w:tab/>
      </w:r>
      <w:r w:rsidRPr="00915DC4">
        <w:rPr>
          <w:rFonts w:eastAsia="Times New Roman" w:cs="Arial"/>
          <w:sz w:val="24"/>
        </w:rPr>
        <w:tab/>
        <w:t>Adopted Without Changes</w:t>
      </w:r>
    </w:p>
    <w:p w:rsidR="00915DC4" w:rsidRPr="00915DC4" w:rsidRDefault="00915DC4" w:rsidP="00915DC4">
      <w:pPr>
        <w:widowControl w:val="0"/>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915DC4">
        <w:rPr>
          <w:rFonts w:eastAsia="Times New Roman" w:cs="Arial"/>
          <w:sz w:val="24"/>
        </w:rPr>
        <w:t>Effective Date:</w:t>
      </w: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915DC4">
        <w:rPr>
          <w:rFonts w:eastAsia="Times New Roman" w:cs="Arial"/>
          <w:sz w:val="24"/>
        </w:rPr>
        <w:lastRenderedPageBreak/>
        <w:t>X</w:t>
      </w:r>
      <w:r w:rsidRPr="00915DC4">
        <w:rPr>
          <w:rFonts w:eastAsia="Times New Roman" w:cs="Arial"/>
          <w:sz w:val="24"/>
        </w:rPr>
        <w:tab/>
      </w:r>
      <w:r w:rsidRPr="00915DC4">
        <w:rPr>
          <w:rFonts w:eastAsia="Times New Roman" w:cs="Arial"/>
          <w:sz w:val="24"/>
        </w:rPr>
        <w:tab/>
      </w:r>
      <w:r w:rsidRPr="00915DC4">
        <w:rPr>
          <w:rFonts w:eastAsia="Times New Roman" w:cs="Arial"/>
          <w:sz w:val="24"/>
        </w:rPr>
        <w:tab/>
      </w:r>
      <w:r w:rsidRPr="00915DC4">
        <w:rPr>
          <w:rFonts w:eastAsia="Times New Roman" w:cs="Arial"/>
          <w:sz w:val="24"/>
        </w:rPr>
        <w:tab/>
        <w:t>Other (Specify)</w:t>
      </w:r>
    </w:p>
    <w:p w:rsidR="00915DC4" w:rsidRPr="00915DC4" w:rsidRDefault="00915DC4" w:rsidP="0091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915DC4">
        <w:rPr>
          <w:rFonts w:eastAsia="Times New Roman" w:cs="Arial"/>
          <w:sz w:val="24"/>
        </w:rPr>
        <w:tab/>
      </w:r>
      <w:r w:rsidRPr="00915DC4">
        <w:rPr>
          <w:rFonts w:eastAsia="Times New Roman" w:cs="Arial"/>
          <w:sz w:val="24"/>
        </w:rPr>
        <w:tab/>
      </w:r>
      <w:r w:rsidRPr="00915DC4">
        <w:rPr>
          <w:rFonts w:eastAsia="Times New Roman" w:cs="Arial"/>
          <w:sz w:val="24"/>
        </w:rPr>
        <w:tab/>
      </w:r>
      <w:r w:rsidRPr="00915DC4">
        <w:rPr>
          <w:rFonts w:eastAsia="Times New Roman" w:cs="Arial"/>
          <w:sz w:val="24"/>
        </w:rPr>
        <w:tab/>
        <w:t>December 1, 2016</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b/>
        <w:t xml:space="preserve">The amendment and new section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b/>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b/>
        <w:t xml:space="preserve">The amendment and new section implement </w:t>
      </w:r>
      <w:r w:rsidRPr="00915DC4">
        <w:rPr>
          <w:rFonts w:eastAsia="Times New Roman" w:cs="Arial"/>
          <w:iCs/>
          <w:sz w:val="24"/>
          <w:szCs w:val="24"/>
        </w:rPr>
        <w:t xml:space="preserve">HRC </w:t>
      </w:r>
      <w:r w:rsidRPr="00915DC4">
        <w:rPr>
          <w:rFonts w:eastAsia="Times New Roman" w:cs="Arial"/>
          <w:sz w:val="24"/>
          <w:szCs w:val="24"/>
        </w:rPr>
        <w:t xml:space="preserve">§§42.042, 42.0421, 42.0523, and 42.056 and portions of the Child Care and Development Block Grant Act of 2014, which </w:t>
      </w:r>
      <w:r w:rsidRPr="00915DC4">
        <w:rPr>
          <w:rFonts w:eastAsia="Times New Roman" w:cs="Arial"/>
          <w:sz w:val="24"/>
          <w:szCs w:val="24"/>
          <w:lang w:val="en"/>
        </w:rPr>
        <w:t>is codified in 42 USC §9857 et seq</w:t>
      </w:r>
      <w:r w:rsidRPr="00915DC4">
        <w:rPr>
          <w:rFonts w:eastAsia="Times New Roman" w:cs="Arial"/>
          <w:sz w:val="24"/>
          <w:szCs w:val="24"/>
        </w:rPr>
        <w:t>.</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§745.615. On whom must I request background checks?</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b/>
        <w:t>(a) (No change.)</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b/>
        <w:t>(b) In addition to any other background check required by this section, you must request fingerprint-based criminal history checks on the following:</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b/>
      </w:r>
      <w:r w:rsidRPr="00915DC4">
        <w:rPr>
          <w:rFonts w:eastAsia="Times New Roman" w:cs="Arial"/>
          <w:sz w:val="24"/>
          <w:szCs w:val="24"/>
        </w:rPr>
        <w:tab/>
        <w:t>(1) If you are a permit holder, or applicant for a permit, for a child-placing agency, general residential operation, independent foster home, child-care center, before or after-school program, school-age program, licensed child-care home, registered child-care home, or listed family home providing care to unrelated children, then you must request a fingerprint-based criminal history check for each person who is required to have a name-based background check under subsection (a)(1) - (6) of this section; and</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b/>
      </w:r>
      <w:r w:rsidRPr="00915DC4">
        <w:rPr>
          <w:rFonts w:eastAsia="Times New Roman" w:cs="Arial"/>
          <w:sz w:val="24"/>
          <w:szCs w:val="24"/>
        </w:rPr>
        <w:tab/>
        <w:t>(2) (No change.)</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b/>
        <w:t>(c) - (d) (No change.)</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iCs/>
          <w:sz w:val="24"/>
          <w:szCs w:val="24"/>
        </w:rPr>
        <w:t xml:space="preserve">§745.616. Transitional rule for requesting fingerprint-based criminal history checks for listed family homes, registered child-care homes, and licensed child-care homes as required by the 84th Texas Legislature.  </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iCs/>
          <w:sz w:val="24"/>
          <w:szCs w:val="24"/>
        </w:rPr>
      </w:pPr>
      <w:r w:rsidRPr="00915DC4">
        <w:rPr>
          <w:rFonts w:eastAsia="Times New Roman" w:cs="Arial"/>
          <w:iCs/>
          <w:sz w:val="24"/>
          <w:szCs w:val="24"/>
        </w:rPr>
        <w:tab/>
        <w:t>(a) The 84th Texas Legislature enacted changes to Human Resources Code (HRC) §42.056, imposing new fingerprint-based criminal history check (fingerprint-based check) requirements on certain persons affiliated with listed family homes that provide care to unrelated children, registered child-care homes, and licensed child-care homes who had not previously been required to undergo these checks. See S. B. 1496</w:t>
      </w:r>
      <w:r w:rsidRPr="00915DC4">
        <w:rPr>
          <w:rFonts w:eastAsia="Times New Roman" w:cs="Arial"/>
          <w:sz w:val="24"/>
          <w:szCs w:val="24"/>
        </w:rPr>
        <w:t xml:space="preserve">, 84th Regular Legislative Session. </w:t>
      </w:r>
      <w:r w:rsidRPr="00915DC4">
        <w:rPr>
          <w:rFonts w:eastAsia="Times New Roman" w:cs="Arial"/>
          <w:iCs/>
          <w:sz w:val="24"/>
          <w:szCs w:val="24"/>
        </w:rPr>
        <w:t>The purpose of this transitional rule is to provide guidance on when a fingerprint-based check should be requested and when Licensing will begin to cite a home for a violation of minimum standards for failing to request a required fingerprint-based check. This rule applies only to listed family homes, registered child-care homes, or licensed child-care homes, and only with respect to persons who were not previously required to undergo a fingerprint-based check under HRC §42.056, as that statute existed before the changes from S. B. 1496 became effective on September 1, 2016.</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iCs/>
          <w:sz w:val="24"/>
          <w:szCs w:val="24"/>
        </w:rPr>
        <w:tab/>
        <w:t xml:space="preserve">(b) </w:t>
      </w:r>
      <w:r w:rsidRPr="00915DC4">
        <w:rPr>
          <w:rFonts w:eastAsia="Times New Roman" w:cs="Arial"/>
          <w:sz w:val="24"/>
          <w:szCs w:val="24"/>
        </w:rPr>
        <w:t xml:space="preserve">Beginning September 1, 2016, before we issue you a permit to operate a listed </w:t>
      </w:r>
      <w:r w:rsidRPr="00915DC4">
        <w:rPr>
          <w:rFonts w:eastAsia="Times New Roman" w:cs="Arial"/>
          <w:sz w:val="24"/>
          <w:szCs w:val="24"/>
        </w:rPr>
        <w:lastRenderedPageBreak/>
        <w:t>family home, registered child-care home, or licensed child-care home you must:</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color w:val="000000"/>
          <w:sz w:val="24"/>
          <w:szCs w:val="24"/>
        </w:rPr>
      </w:pPr>
      <w:r w:rsidRPr="00915DC4">
        <w:rPr>
          <w:rFonts w:eastAsia="Times New Roman" w:cs="Arial"/>
          <w:sz w:val="24"/>
          <w:szCs w:val="24"/>
        </w:rPr>
        <w:tab/>
      </w:r>
      <w:r w:rsidRPr="00915DC4">
        <w:rPr>
          <w:rFonts w:eastAsia="Times New Roman" w:cs="Arial"/>
          <w:sz w:val="24"/>
          <w:szCs w:val="24"/>
        </w:rPr>
        <w:tab/>
        <w:t xml:space="preserve">(1) Request fingerprint-based checks for all persons listed in </w:t>
      </w:r>
      <w:r w:rsidRPr="00915DC4">
        <w:rPr>
          <w:rFonts w:eastAsia="Times New Roman" w:cs="Arial"/>
          <w:color w:val="000000"/>
          <w:sz w:val="24"/>
          <w:szCs w:val="24"/>
        </w:rPr>
        <w:t>§745.615(a)(1) - (6) of this title (relating to On whom must I request background checks?); and</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iCs/>
          <w:sz w:val="24"/>
          <w:szCs w:val="24"/>
        </w:rPr>
      </w:pPr>
      <w:r w:rsidRPr="00915DC4">
        <w:rPr>
          <w:rFonts w:eastAsia="Times New Roman" w:cs="Arial"/>
          <w:color w:val="000000"/>
          <w:sz w:val="24"/>
          <w:szCs w:val="24"/>
        </w:rPr>
        <w:tab/>
      </w:r>
      <w:r w:rsidRPr="00915DC4">
        <w:rPr>
          <w:rFonts w:eastAsia="Times New Roman" w:cs="Arial"/>
          <w:color w:val="000000"/>
          <w:sz w:val="24"/>
          <w:szCs w:val="24"/>
        </w:rPr>
        <w:tab/>
        <w:t xml:space="preserve">(2) Request these fingerprint-based checks when you request the initial background checks that you must request according to §745.625(a) of this title (relating to When must I submit a request for an initial or renewal background check?). </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i/>
          <w:iCs/>
          <w:sz w:val="24"/>
          <w:szCs w:val="24"/>
        </w:rPr>
      </w:pPr>
      <w:r w:rsidRPr="00915DC4">
        <w:rPr>
          <w:rFonts w:eastAsia="Times New Roman" w:cs="Arial"/>
          <w:iCs/>
          <w:sz w:val="24"/>
          <w:szCs w:val="24"/>
        </w:rPr>
        <w:tab/>
        <w:t xml:space="preserve">(c) For listed family homes, registered child-care homes, or licensed child-care homes that have been issued a permit to operate a home before September 1, 2016, </w:t>
      </w:r>
      <w:r w:rsidRPr="00915DC4">
        <w:rPr>
          <w:rFonts w:eastAsia="Times New Roman" w:cs="Arial"/>
          <w:sz w:val="24"/>
          <w:szCs w:val="24"/>
        </w:rPr>
        <w:t xml:space="preserve">you must request fingerprint-based checks for all persons listed in </w:t>
      </w:r>
      <w:r w:rsidRPr="00915DC4">
        <w:rPr>
          <w:rFonts w:eastAsia="Times New Roman" w:cs="Arial"/>
          <w:color w:val="000000"/>
          <w:sz w:val="24"/>
          <w:szCs w:val="24"/>
        </w:rPr>
        <w:t xml:space="preserve">§745.615(a)(1) - (6) </w:t>
      </w:r>
      <w:r w:rsidRPr="00915DC4">
        <w:rPr>
          <w:rFonts w:eastAsia="Times New Roman" w:cs="Arial"/>
          <w:sz w:val="24"/>
          <w:szCs w:val="24"/>
        </w:rPr>
        <w:t>who do not already have a valid fingerprint-based check on file, in accordance with the timeframes listed below:</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tbl>
      <w:tblPr>
        <w:tblStyle w:val="TableGrid1"/>
        <w:tblW w:w="0" w:type="auto"/>
        <w:tblInd w:w="0" w:type="dxa"/>
        <w:tblLook w:val="04A0" w:firstRow="1" w:lastRow="0" w:firstColumn="1" w:lastColumn="0" w:noHBand="0" w:noVBand="1"/>
      </w:tblPr>
      <w:tblGrid>
        <w:gridCol w:w="4338"/>
        <w:gridCol w:w="4860"/>
      </w:tblGrid>
      <w:tr w:rsidR="00915DC4" w:rsidRPr="00915DC4" w:rsidTr="000716E9">
        <w:tc>
          <w:tcPr>
            <w:tcW w:w="4338" w:type="dxa"/>
            <w:tcBorders>
              <w:top w:val="single" w:sz="4" w:space="0" w:color="auto"/>
              <w:left w:val="single" w:sz="4" w:space="0" w:color="auto"/>
              <w:bottom w:val="single" w:sz="4" w:space="0" w:color="auto"/>
              <w:right w:val="single" w:sz="4" w:space="0" w:color="auto"/>
            </w:tcBorders>
            <w:hideMark/>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rPr>
                <w:rFonts w:eastAsia="Times New Roman" w:cs="Arial"/>
                <w:sz w:val="24"/>
                <w:szCs w:val="24"/>
              </w:rPr>
            </w:pPr>
            <w:r w:rsidRPr="00915DC4">
              <w:rPr>
                <w:rFonts w:eastAsia="Times New Roman" w:cs="Arial"/>
                <w:sz w:val="24"/>
                <w:szCs w:val="24"/>
              </w:rPr>
              <w:t>Persons Requiring a Fingerprint-Based Check:</w:t>
            </w:r>
          </w:p>
        </w:tc>
        <w:tc>
          <w:tcPr>
            <w:tcW w:w="4860" w:type="dxa"/>
            <w:tcBorders>
              <w:top w:val="single" w:sz="4" w:space="0" w:color="auto"/>
              <w:left w:val="single" w:sz="4" w:space="0" w:color="auto"/>
              <w:bottom w:val="single" w:sz="4" w:space="0" w:color="auto"/>
              <w:right w:val="single" w:sz="4" w:space="0" w:color="auto"/>
            </w:tcBorders>
            <w:hideMark/>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rPr>
                <w:rFonts w:eastAsia="Times New Roman" w:cs="Arial"/>
                <w:sz w:val="24"/>
                <w:szCs w:val="24"/>
              </w:rPr>
            </w:pPr>
            <w:r w:rsidRPr="00915DC4">
              <w:rPr>
                <w:rFonts w:eastAsia="Times New Roman" w:cs="Arial"/>
                <w:sz w:val="24"/>
                <w:szCs w:val="24"/>
              </w:rPr>
              <w:t>When the Request for a Fingerprint-Based Check is Due:</w:t>
            </w:r>
          </w:p>
        </w:tc>
      </w:tr>
      <w:tr w:rsidR="00915DC4" w:rsidRPr="00915DC4" w:rsidTr="000716E9">
        <w:tc>
          <w:tcPr>
            <w:tcW w:w="4338" w:type="dxa"/>
            <w:tcBorders>
              <w:top w:val="single" w:sz="4" w:space="0" w:color="auto"/>
              <w:left w:val="single" w:sz="4" w:space="0" w:color="auto"/>
              <w:bottom w:val="single" w:sz="4" w:space="0" w:color="auto"/>
              <w:right w:val="single" w:sz="4" w:space="0" w:color="auto"/>
            </w:tcBorders>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rPr>
                <w:rFonts w:eastAsia="Times New Roman" w:cs="Arial"/>
                <w:sz w:val="24"/>
                <w:szCs w:val="24"/>
              </w:rPr>
            </w:pPr>
            <w:r w:rsidRPr="00915DC4">
              <w:rPr>
                <w:rFonts w:eastAsia="Times New Roman" w:cs="Arial"/>
                <w:sz w:val="24"/>
                <w:szCs w:val="24"/>
              </w:rPr>
              <w:t>(1) Persons whose initial or last name-based background check renewal was run (or was due to be run) between September 1, 2014 and August 31, 2015</w:t>
            </w:r>
          </w:p>
        </w:tc>
        <w:tc>
          <w:tcPr>
            <w:tcW w:w="4860" w:type="dxa"/>
            <w:tcBorders>
              <w:top w:val="single" w:sz="4" w:space="0" w:color="auto"/>
              <w:left w:val="single" w:sz="4" w:space="0" w:color="auto"/>
              <w:bottom w:val="single" w:sz="4" w:space="0" w:color="auto"/>
              <w:right w:val="single" w:sz="4" w:space="0" w:color="auto"/>
            </w:tcBorders>
            <w:hideMark/>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rPr>
                <w:rFonts w:eastAsia="Times New Roman" w:cs="Arial"/>
                <w:sz w:val="24"/>
                <w:szCs w:val="24"/>
              </w:rPr>
            </w:pPr>
            <w:r w:rsidRPr="00915DC4">
              <w:rPr>
                <w:rFonts w:eastAsia="Times New Roman" w:cs="Arial"/>
                <w:sz w:val="24"/>
                <w:szCs w:val="24"/>
              </w:rPr>
              <w:t>At the time the person's name-based background check is due for renewal.</w:t>
            </w:r>
          </w:p>
        </w:tc>
      </w:tr>
      <w:tr w:rsidR="00915DC4" w:rsidRPr="00915DC4" w:rsidTr="000716E9">
        <w:tc>
          <w:tcPr>
            <w:tcW w:w="4338" w:type="dxa"/>
            <w:tcBorders>
              <w:top w:val="single" w:sz="4" w:space="0" w:color="auto"/>
              <w:left w:val="single" w:sz="4" w:space="0" w:color="auto"/>
              <w:bottom w:val="single" w:sz="4" w:space="0" w:color="auto"/>
              <w:right w:val="single" w:sz="4" w:space="0" w:color="auto"/>
            </w:tcBorders>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rPr>
                <w:rFonts w:eastAsia="Times New Roman" w:cs="Arial"/>
                <w:sz w:val="24"/>
                <w:szCs w:val="24"/>
              </w:rPr>
            </w:pPr>
            <w:r w:rsidRPr="00915DC4">
              <w:rPr>
                <w:rFonts w:eastAsia="Times New Roman" w:cs="Arial"/>
                <w:sz w:val="24"/>
                <w:szCs w:val="24"/>
              </w:rPr>
              <w:t>(2) Persons whose initial or last name-based background check renewal was run (or was due to be run) between September 1, 2015 and August 31, 2016</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rPr>
                <w:rFonts w:eastAsia="Times New Roman" w:cs="Arial"/>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rPr>
                <w:rFonts w:eastAsia="Times New Roman" w:cs="Arial"/>
                <w:sz w:val="24"/>
                <w:szCs w:val="24"/>
              </w:rPr>
            </w:pPr>
            <w:r w:rsidRPr="00915DC4">
              <w:rPr>
                <w:rFonts w:eastAsia="Times New Roman" w:cs="Arial"/>
                <w:sz w:val="24"/>
                <w:szCs w:val="24"/>
              </w:rPr>
              <w:t>If your last name begins with:</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rPr>
                <w:rFonts w:eastAsia="Times New Roman" w:cs="Arial"/>
                <w:sz w:val="24"/>
                <w:szCs w:val="24"/>
              </w:rPr>
            </w:pPr>
            <w:r w:rsidRPr="00915DC4">
              <w:rPr>
                <w:rFonts w:eastAsia="Times New Roman" w:cs="Arial"/>
                <w:sz w:val="24"/>
                <w:szCs w:val="24"/>
              </w:rPr>
              <w:t>(A) A through F, December 1, 2016;</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rPr>
                <w:rFonts w:eastAsia="Times New Roman" w:cs="Arial"/>
                <w:sz w:val="24"/>
                <w:szCs w:val="24"/>
              </w:rPr>
            </w:pPr>
            <w:r w:rsidRPr="00915DC4">
              <w:rPr>
                <w:rFonts w:eastAsia="Times New Roman" w:cs="Arial"/>
                <w:sz w:val="24"/>
                <w:szCs w:val="24"/>
              </w:rPr>
              <w:t>(B) G through L, March 1, 2017;</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rPr>
                <w:rFonts w:eastAsia="Times New Roman" w:cs="Arial"/>
                <w:sz w:val="24"/>
                <w:szCs w:val="24"/>
              </w:rPr>
            </w:pPr>
            <w:r w:rsidRPr="00915DC4">
              <w:rPr>
                <w:rFonts w:eastAsia="Times New Roman" w:cs="Arial"/>
                <w:sz w:val="24"/>
                <w:szCs w:val="24"/>
              </w:rPr>
              <w:t>(C) M through R, June 1, 2017; and</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rPr>
                <w:rFonts w:eastAsia="Times New Roman" w:cs="Arial"/>
                <w:sz w:val="24"/>
                <w:szCs w:val="24"/>
              </w:rPr>
            </w:pPr>
            <w:r w:rsidRPr="00915DC4">
              <w:rPr>
                <w:rFonts w:eastAsia="Times New Roman" w:cs="Arial"/>
                <w:sz w:val="24"/>
                <w:szCs w:val="24"/>
              </w:rPr>
              <w:t xml:space="preserve">(D) S through Z, August 1, 2017. </w:t>
            </w:r>
          </w:p>
        </w:tc>
      </w:tr>
      <w:tr w:rsidR="00915DC4" w:rsidRPr="00915DC4" w:rsidTr="000716E9">
        <w:tc>
          <w:tcPr>
            <w:tcW w:w="4338" w:type="dxa"/>
            <w:tcBorders>
              <w:top w:val="single" w:sz="4" w:space="0" w:color="auto"/>
              <w:left w:val="single" w:sz="4" w:space="0" w:color="auto"/>
              <w:bottom w:val="single" w:sz="4" w:space="0" w:color="auto"/>
              <w:right w:val="single" w:sz="4" w:space="0" w:color="auto"/>
            </w:tcBorders>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rPr>
                <w:rFonts w:eastAsia="Times New Roman" w:cs="Arial"/>
                <w:sz w:val="24"/>
                <w:szCs w:val="24"/>
              </w:rPr>
            </w:pPr>
            <w:r w:rsidRPr="00915DC4">
              <w:rPr>
                <w:rFonts w:eastAsia="Times New Roman" w:cs="Arial"/>
                <w:sz w:val="24"/>
                <w:szCs w:val="24"/>
              </w:rPr>
              <w:t xml:space="preserve">(3) Any person who will be turning 14 years of age and: </w:t>
            </w:r>
          </w:p>
          <w:p w:rsidR="00915DC4" w:rsidRPr="00915DC4" w:rsidRDefault="00915DC4" w:rsidP="00915DC4">
            <w:pPr>
              <w:widowControl w:val="0"/>
              <w:numPr>
                <w:ilvl w:val="0"/>
                <w:numId w:val="1"/>
              </w:numPr>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contextualSpacing/>
              <w:rPr>
                <w:rFonts w:cs="Arial"/>
                <w:sz w:val="24"/>
                <w:szCs w:val="24"/>
              </w:rPr>
            </w:pPr>
            <w:r w:rsidRPr="00915DC4">
              <w:rPr>
                <w:rFonts w:cs="Arial"/>
                <w:sz w:val="24"/>
                <w:szCs w:val="24"/>
              </w:rPr>
              <w:t xml:space="preserve">Is counted in the child/caregiver ratio; </w:t>
            </w:r>
          </w:p>
          <w:p w:rsidR="00915DC4" w:rsidRPr="00915DC4" w:rsidRDefault="00915DC4" w:rsidP="00915DC4">
            <w:pPr>
              <w:widowControl w:val="0"/>
              <w:numPr>
                <w:ilvl w:val="0"/>
                <w:numId w:val="1"/>
              </w:numPr>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contextualSpacing/>
              <w:rPr>
                <w:rFonts w:cs="Arial"/>
                <w:sz w:val="24"/>
                <w:szCs w:val="24"/>
              </w:rPr>
            </w:pPr>
            <w:r w:rsidRPr="00915DC4">
              <w:rPr>
                <w:rFonts w:cs="Arial"/>
                <w:sz w:val="24"/>
                <w:szCs w:val="24"/>
              </w:rPr>
              <w:t xml:space="preserve">Has unsupervised access to children in care; or </w:t>
            </w:r>
          </w:p>
          <w:p w:rsidR="00915DC4" w:rsidRPr="00915DC4" w:rsidRDefault="00915DC4" w:rsidP="00915DC4">
            <w:pPr>
              <w:widowControl w:val="0"/>
              <w:numPr>
                <w:ilvl w:val="0"/>
                <w:numId w:val="1"/>
              </w:numPr>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contextualSpacing/>
              <w:rPr>
                <w:rFonts w:cs="Arial"/>
                <w:sz w:val="24"/>
                <w:szCs w:val="24"/>
              </w:rPr>
            </w:pPr>
            <w:r w:rsidRPr="00915DC4">
              <w:rPr>
                <w:rFonts w:cs="Arial"/>
                <w:sz w:val="24"/>
                <w:szCs w:val="24"/>
              </w:rPr>
              <w:t>Resides at the home</w:t>
            </w:r>
          </w:p>
        </w:tc>
        <w:tc>
          <w:tcPr>
            <w:tcW w:w="4860" w:type="dxa"/>
            <w:tcBorders>
              <w:top w:val="single" w:sz="4" w:space="0" w:color="auto"/>
              <w:left w:val="single" w:sz="4" w:space="0" w:color="auto"/>
              <w:bottom w:val="single" w:sz="4" w:space="0" w:color="auto"/>
              <w:right w:val="single" w:sz="4" w:space="0" w:color="auto"/>
            </w:tcBorders>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rPr>
                <w:rFonts w:eastAsia="Times New Roman" w:cs="Arial"/>
                <w:sz w:val="24"/>
                <w:szCs w:val="24"/>
              </w:rPr>
            </w:pPr>
            <w:r w:rsidRPr="00915DC4">
              <w:rPr>
                <w:rFonts w:eastAsia="Times New Roman" w:cs="Arial"/>
                <w:sz w:val="24"/>
                <w:szCs w:val="24"/>
              </w:rPr>
              <w:t>Within 90 days before or after the child's 14</w:t>
            </w:r>
            <w:r w:rsidRPr="00915DC4">
              <w:rPr>
                <w:rFonts w:eastAsia="Times New Roman" w:cs="Arial"/>
                <w:sz w:val="24"/>
                <w:szCs w:val="24"/>
                <w:vertAlign w:val="superscript"/>
              </w:rPr>
              <w:t>th</w:t>
            </w:r>
            <w:r w:rsidRPr="00915DC4">
              <w:rPr>
                <w:rFonts w:eastAsia="Times New Roman" w:cs="Arial"/>
                <w:sz w:val="24"/>
                <w:szCs w:val="24"/>
              </w:rPr>
              <w:t xml:space="preserve"> birthday.</w:t>
            </w:r>
          </w:p>
        </w:tc>
      </w:tr>
      <w:tr w:rsidR="00915DC4" w:rsidRPr="00915DC4" w:rsidTr="000716E9">
        <w:tc>
          <w:tcPr>
            <w:tcW w:w="4338" w:type="dxa"/>
            <w:tcBorders>
              <w:top w:val="single" w:sz="4" w:space="0" w:color="auto"/>
              <w:left w:val="single" w:sz="4" w:space="0" w:color="auto"/>
              <w:bottom w:val="single" w:sz="4" w:space="0" w:color="auto"/>
              <w:right w:val="single" w:sz="4" w:space="0" w:color="auto"/>
            </w:tcBorders>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rPr>
                <w:rFonts w:eastAsia="Times New Roman" w:cs="Arial"/>
                <w:sz w:val="24"/>
                <w:szCs w:val="24"/>
              </w:rPr>
            </w:pPr>
            <w:r w:rsidRPr="00915DC4">
              <w:rPr>
                <w:rFonts w:eastAsia="Times New Roman" w:cs="Arial"/>
                <w:sz w:val="24"/>
                <w:szCs w:val="24"/>
              </w:rPr>
              <w:t>(4) Anyone for whom:</w:t>
            </w:r>
          </w:p>
          <w:p w:rsidR="00915DC4" w:rsidRPr="00915DC4" w:rsidRDefault="00915DC4" w:rsidP="00915DC4">
            <w:pPr>
              <w:widowControl w:val="0"/>
              <w:numPr>
                <w:ilvl w:val="0"/>
                <w:numId w:val="2"/>
              </w:numPr>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contextualSpacing/>
              <w:rPr>
                <w:rFonts w:cs="Arial"/>
                <w:sz w:val="24"/>
                <w:szCs w:val="24"/>
              </w:rPr>
            </w:pPr>
            <w:r w:rsidRPr="00915DC4">
              <w:rPr>
                <w:rFonts w:cs="Arial"/>
                <w:sz w:val="24"/>
                <w:szCs w:val="24"/>
              </w:rPr>
              <w:t>You have requested a risk evaluation; and</w:t>
            </w:r>
          </w:p>
          <w:p w:rsidR="00915DC4" w:rsidRPr="00915DC4" w:rsidRDefault="00915DC4" w:rsidP="00915DC4">
            <w:pPr>
              <w:widowControl w:val="0"/>
              <w:numPr>
                <w:ilvl w:val="0"/>
                <w:numId w:val="2"/>
              </w:numPr>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contextualSpacing/>
              <w:rPr>
                <w:rFonts w:cs="Arial"/>
                <w:sz w:val="24"/>
                <w:szCs w:val="24"/>
              </w:rPr>
            </w:pPr>
            <w:r w:rsidRPr="00915DC4">
              <w:rPr>
                <w:rFonts w:cs="Arial"/>
                <w:sz w:val="24"/>
                <w:szCs w:val="24"/>
              </w:rPr>
              <w:t>A risk evaluation is pending</w:t>
            </w:r>
          </w:p>
        </w:tc>
        <w:tc>
          <w:tcPr>
            <w:tcW w:w="4860" w:type="dxa"/>
            <w:tcBorders>
              <w:top w:val="single" w:sz="4" w:space="0" w:color="auto"/>
              <w:left w:val="single" w:sz="4" w:space="0" w:color="auto"/>
              <w:bottom w:val="single" w:sz="4" w:space="0" w:color="auto"/>
              <w:right w:val="single" w:sz="4" w:space="0" w:color="auto"/>
            </w:tcBorders>
          </w:tcPr>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rPr>
                <w:rFonts w:eastAsia="Times New Roman" w:cs="Arial"/>
                <w:sz w:val="24"/>
                <w:szCs w:val="24"/>
              </w:rPr>
            </w:pPr>
            <w:r w:rsidRPr="00915DC4">
              <w:rPr>
                <w:rFonts w:eastAsia="Times New Roman" w:cs="Arial"/>
                <w:sz w:val="24"/>
                <w:szCs w:val="24"/>
              </w:rPr>
              <w:t>Before the risk evaluation decision may be issued.</w:t>
            </w:r>
          </w:p>
        </w:tc>
      </w:tr>
    </w:tbl>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b/>
        <w:t xml:space="preserve">(d) For persons described in subsection (b) of this section, Licensing will begin citing new homes for violation of minimum standards for any deficiencies relating to fingerprint-based checks after September 1, 2016.  </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b/>
        <w:t xml:space="preserve">(e) For persons described in subsection (c) of this section, Licensing will provide technical assistance to listed family homes, registered child-care homes, or licensed child-care homes until September 1, 2017, and will begin citing operations for violation of minimum standards for any deficiencies relating to fingerprint-based checks after September 1, 2017.  </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b/>
        <w:t xml:space="preserve">(f) This rule expires on December 31, 2017.  </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b/>
        <w:t>This agency certifies that legal counsel has reviewed the adoption and found it to be within the state agency's legal authority to adopt.</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r w:rsidRPr="00915DC4">
        <w:rPr>
          <w:rFonts w:eastAsia="Times New Roman" w:cs="Arial"/>
          <w:sz w:val="24"/>
          <w:szCs w:val="24"/>
        </w:rPr>
        <w:tab/>
        <w:t xml:space="preserve">Issued in Austin, Texas, on </w:t>
      </w:r>
      <w:r w:rsidRPr="00915DC4">
        <w:rPr>
          <w:rFonts w:eastAsia="Times New Roman" w:cs="Arial"/>
          <w:sz w:val="24"/>
          <w:szCs w:val="24"/>
        </w:rPr>
        <w:tab/>
      </w:r>
      <w:r w:rsidRPr="00915DC4">
        <w:rPr>
          <w:rFonts w:eastAsia="Times New Roman" w:cs="Arial"/>
          <w:sz w:val="24"/>
          <w:szCs w:val="24"/>
          <w:u w:val="single"/>
        </w:rPr>
        <w:t xml:space="preserve">                         </w:t>
      </w:r>
      <w:r w:rsidRPr="00915DC4">
        <w:rPr>
          <w:rFonts w:eastAsia="Times New Roman" w:cs="Arial"/>
          <w:sz w:val="24"/>
          <w:szCs w:val="24"/>
        </w:rPr>
        <w:t>.</w:t>
      </w: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4"/>
          <w:szCs w:val="24"/>
        </w:rPr>
      </w:pPr>
    </w:p>
    <w:p w:rsidR="00915DC4" w:rsidRPr="00915DC4" w:rsidRDefault="00915DC4" w:rsidP="00915DC4">
      <w:pPr>
        <w:widowControl w:val="0"/>
        <w:tabs>
          <w:tab w:val="left" w:pos="360"/>
          <w:tab w:val="left" w:pos="720"/>
          <w:tab w:val="left" w:pos="1080"/>
          <w:tab w:val="left" w:pos="1260"/>
          <w:tab w:val="left" w:pos="1800"/>
          <w:tab w:val="left" w:pos="2160"/>
          <w:tab w:val="left" w:pos="2520"/>
          <w:tab w:val="left" w:pos="2880"/>
          <w:tab w:val="left" w:pos="3240"/>
          <w:tab w:val="left" w:pos="3600"/>
        </w:tabs>
        <w:autoSpaceDE w:val="0"/>
        <w:autoSpaceDN w:val="0"/>
        <w:spacing w:after="0" w:line="240" w:lineRule="auto"/>
        <w:rPr>
          <w:rFonts w:eastAsia="Times New Roman" w:cs="Arial"/>
          <w:sz w:val="22"/>
        </w:rPr>
      </w:pPr>
    </w:p>
    <w:p w:rsidR="00356CF4" w:rsidRPr="008F249E" w:rsidRDefault="00356CF4" w:rsidP="008F249E">
      <w:bookmarkStart w:id="0" w:name="_GoBack"/>
      <w:bookmarkEnd w:id="0"/>
    </w:p>
    <w:sectPr w:rsidR="00356CF4" w:rsidRPr="008F249E" w:rsidSect="00CF6BF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C4" w:rsidRDefault="00915DC4" w:rsidP="00915DC4">
      <w:pPr>
        <w:spacing w:after="0" w:line="240" w:lineRule="auto"/>
      </w:pPr>
      <w:r>
        <w:separator/>
      </w:r>
    </w:p>
  </w:endnote>
  <w:endnote w:type="continuationSeparator" w:id="0">
    <w:p w:rsidR="00915DC4" w:rsidRDefault="00915DC4" w:rsidP="0091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C4" w:rsidRDefault="00915DC4" w:rsidP="00915DC4">
      <w:pPr>
        <w:spacing w:after="0" w:line="240" w:lineRule="auto"/>
      </w:pPr>
      <w:r>
        <w:separator/>
      </w:r>
    </w:p>
  </w:footnote>
  <w:footnote w:type="continuationSeparator" w:id="0">
    <w:p w:rsidR="00915DC4" w:rsidRDefault="00915DC4" w:rsidP="00915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9608"/>
      <w:docPartObj>
        <w:docPartGallery w:val="Page Numbers (Top of Page)"/>
        <w:docPartUnique/>
      </w:docPartObj>
    </w:sdtPr>
    <w:sdtEndPr>
      <w:rPr>
        <w:noProof/>
      </w:rPr>
    </w:sdtEndPr>
    <w:sdtContent>
      <w:p w:rsidR="00037383" w:rsidRDefault="00915DC4">
        <w:pPr>
          <w:pStyle w:val="Header"/>
        </w:pPr>
        <w:r>
          <w:t xml:space="preserve">CCL Training and Background Checks (CCDBG) - </w:t>
        </w:r>
        <w:r>
          <w:t>Licensing</w:t>
        </w:r>
      </w:p>
      <w:p w:rsidR="00037383" w:rsidRDefault="00915DC4">
        <w:pPr>
          <w:pStyle w:val="Header"/>
        </w:pPr>
        <w:r>
          <w:t xml:space="preserve">Page </w:t>
        </w:r>
        <w:r>
          <w:fldChar w:fldCharType="begin"/>
        </w:r>
        <w:r>
          <w:instrText xml:space="preserve"> PAGE   \* MERGEFORMAT </w:instrText>
        </w:r>
        <w:r>
          <w:fldChar w:fldCharType="separate"/>
        </w:r>
        <w:r>
          <w:rPr>
            <w:noProof/>
          </w:rPr>
          <w:t>5</w:t>
        </w:r>
        <w:r>
          <w:rPr>
            <w:noProof/>
          </w:rPr>
          <w:fldChar w:fldCharType="end"/>
        </w:r>
        <w:r>
          <w:rPr>
            <w:noProof/>
          </w:rPr>
          <w:t xml:space="preserve"> of </w:t>
        </w:r>
        <w:r>
          <w:rPr>
            <w:noProof/>
          </w:rPr>
          <w:t>5</w:t>
        </w:r>
      </w:p>
    </w:sdtContent>
  </w:sdt>
  <w:p w:rsidR="00037383" w:rsidRDefault="00915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C69F4"/>
    <w:multiLevelType w:val="hybridMultilevel"/>
    <w:tmpl w:val="256C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8C4A90"/>
    <w:multiLevelType w:val="hybridMultilevel"/>
    <w:tmpl w:val="A278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C4"/>
    <w:rsid w:val="000D5A2D"/>
    <w:rsid w:val="00122121"/>
    <w:rsid w:val="00245754"/>
    <w:rsid w:val="00356CF4"/>
    <w:rsid w:val="003844DB"/>
    <w:rsid w:val="004402D4"/>
    <w:rsid w:val="004E1D2A"/>
    <w:rsid w:val="00502BE4"/>
    <w:rsid w:val="005F4D43"/>
    <w:rsid w:val="006D6026"/>
    <w:rsid w:val="008F249E"/>
    <w:rsid w:val="00915DC4"/>
    <w:rsid w:val="00996DD5"/>
    <w:rsid w:val="009977B3"/>
    <w:rsid w:val="00A11BD9"/>
    <w:rsid w:val="00A150F5"/>
    <w:rsid w:val="00AB7B8C"/>
    <w:rsid w:val="00B65D92"/>
    <w:rsid w:val="00BA61F1"/>
    <w:rsid w:val="00CC28BC"/>
    <w:rsid w:val="00DC61A5"/>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915D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DC4"/>
    <w:pPr>
      <w:widowControl w:val="0"/>
      <w:tabs>
        <w:tab w:val="center" w:pos="4680"/>
        <w:tab w:val="right" w:pos="9360"/>
      </w:tabs>
      <w:autoSpaceDE w:val="0"/>
      <w:autoSpaceDN w:val="0"/>
      <w:spacing w:after="0" w:line="240" w:lineRule="auto"/>
    </w:pPr>
    <w:rPr>
      <w:rFonts w:ascii="Univers" w:eastAsia="Times New Roman" w:hAnsi="Univers" w:cs="Times New Roman"/>
      <w:sz w:val="22"/>
    </w:rPr>
  </w:style>
  <w:style w:type="character" w:customStyle="1" w:styleId="HeaderChar">
    <w:name w:val="Header Char"/>
    <w:basedOn w:val="DefaultParagraphFont"/>
    <w:link w:val="Header"/>
    <w:uiPriority w:val="99"/>
    <w:rsid w:val="00915DC4"/>
    <w:rPr>
      <w:rFonts w:ascii="Univers" w:eastAsia="Times New Roman" w:hAnsi="Univers" w:cs="Times New Roman"/>
    </w:rPr>
  </w:style>
  <w:style w:type="paragraph" w:styleId="Footer">
    <w:name w:val="footer"/>
    <w:basedOn w:val="Normal"/>
    <w:link w:val="FooterChar"/>
    <w:uiPriority w:val="99"/>
    <w:unhideWhenUsed/>
    <w:rsid w:val="00915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DC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915D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DC4"/>
    <w:pPr>
      <w:widowControl w:val="0"/>
      <w:tabs>
        <w:tab w:val="center" w:pos="4680"/>
        <w:tab w:val="right" w:pos="9360"/>
      </w:tabs>
      <w:autoSpaceDE w:val="0"/>
      <w:autoSpaceDN w:val="0"/>
      <w:spacing w:after="0" w:line="240" w:lineRule="auto"/>
    </w:pPr>
    <w:rPr>
      <w:rFonts w:ascii="Univers" w:eastAsia="Times New Roman" w:hAnsi="Univers" w:cs="Times New Roman"/>
      <w:sz w:val="22"/>
    </w:rPr>
  </w:style>
  <w:style w:type="character" w:customStyle="1" w:styleId="HeaderChar">
    <w:name w:val="Header Char"/>
    <w:basedOn w:val="DefaultParagraphFont"/>
    <w:link w:val="Header"/>
    <w:uiPriority w:val="99"/>
    <w:rsid w:val="00915DC4"/>
    <w:rPr>
      <w:rFonts w:ascii="Univers" w:eastAsia="Times New Roman" w:hAnsi="Univers" w:cs="Times New Roman"/>
    </w:rPr>
  </w:style>
  <w:style w:type="paragraph" w:styleId="Footer">
    <w:name w:val="footer"/>
    <w:basedOn w:val="Normal"/>
    <w:link w:val="FooterChar"/>
    <w:uiPriority w:val="99"/>
    <w:unhideWhenUsed/>
    <w:rsid w:val="00915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DC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Mcdonald,Cristi R (DFPS)</dc:creator>
  <cp:lastModifiedBy>Mcdonald,Cristi R (DFPS)</cp:lastModifiedBy>
  <cp:revision>1</cp:revision>
  <dcterms:created xsi:type="dcterms:W3CDTF">2016-07-08T20:46:00Z</dcterms:created>
  <dcterms:modified xsi:type="dcterms:W3CDTF">2016-07-08T20:47:00Z</dcterms:modified>
</cp:coreProperties>
</file>