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EE" w:rsidRPr="00FA28EE" w:rsidRDefault="00FA28EE" w:rsidP="00350206">
      <w:pPr>
        <w:pStyle w:val="Heading3"/>
        <w:rPr>
          <w:i/>
          <w:color w:val="FF0000"/>
          <w:lang w:val="en"/>
        </w:rPr>
      </w:pPr>
      <w:bookmarkStart w:id="0" w:name="_Toc425492093"/>
      <w:r w:rsidRPr="00FA28EE">
        <w:rPr>
          <w:i/>
          <w:color w:val="FF0000"/>
          <w:highlight w:val="yellow"/>
          <w:lang w:val="en"/>
        </w:rPr>
        <w:t>Note to Licensing staff: Many of the procedures that were previous</w:t>
      </w:r>
      <w:r>
        <w:rPr>
          <w:i/>
          <w:color w:val="FF0000"/>
          <w:highlight w:val="yellow"/>
          <w:lang w:val="en"/>
        </w:rPr>
        <w:t>ly in the LPPH were moved to</w:t>
      </w:r>
      <w:r w:rsidRPr="00FA28EE">
        <w:rPr>
          <w:i/>
          <w:color w:val="FF0000"/>
          <w:highlight w:val="yellow"/>
          <w:lang w:val="en"/>
        </w:rPr>
        <w:t xml:space="preserve"> the synopses' manuals. </w:t>
      </w:r>
      <w:r>
        <w:rPr>
          <w:i/>
          <w:color w:val="FF0000"/>
          <w:highlight w:val="yellow"/>
          <w:lang w:val="en"/>
        </w:rPr>
        <w:t>The</w:t>
      </w:r>
      <w:r w:rsidR="001D40C2">
        <w:rPr>
          <w:i/>
          <w:color w:val="FF0000"/>
          <w:highlight w:val="yellow"/>
          <w:lang w:val="en"/>
        </w:rPr>
        <w:t xml:space="preserve"> CPA and RTC</w:t>
      </w:r>
      <w:r>
        <w:rPr>
          <w:i/>
          <w:color w:val="FF0000"/>
          <w:highlight w:val="yellow"/>
          <w:lang w:val="en"/>
        </w:rPr>
        <w:t xml:space="preserve"> synopses were updated and one was created for GROs (non-RTCs)</w:t>
      </w:r>
      <w:r w:rsidR="001D40C2">
        <w:rPr>
          <w:i/>
          <w:color w:val="FF0000"/>
          <w:highlight w:val="yellow"/>
          <w:lang w:val="en"/>
        </w:rPr>
        <w:t xml:space="preserve"> because </w:t>
      </w:r>
      <w:r w:rsidRPr="00FA28EE">
        <w:rPr>
          <w:i/>
          <w:color w:val="FF0000"/>
          <w:highlight w:val="yellow"/>
          <w:lang w:val="en"/>
        </w:rPr>
        <w:t>all GROs</w:t>
      </w:r>
      <w:r w:rsidR="001D40C2">
        <w:rPr>
          <w:i/>
          <w:color w:val="FF0000"/>
          <w:highlight w:val="yellow"/>
          <w:lang w:val="en"/>
        </w:rPr>
        <w:t xml:space="preserve"> </w:t>
      </w:r>
      <w:r w:rsidRPr="00FA28EE">
        <w:rPr>
          <w:i/>
          <w:color w:val="FF0000"/>
          <w:highlight w:val="yellow"/>
          <w:lang w:val="en"/>
        </w:rPr>
        <w:t>now qualify for an enforcement team conference. Send all questions to LPPH@dfps.state.tx.us</w:t>
      </w:r>
    </w:p>
    <w:p w:rsidR="00350206" w:rsidRPr="006908B2" w:rsidRDefault="00350206" w:rsidP="00350206">
      <w:pPr>
        <w:pStyle w:val="Heading3"/>
        <w:rPr>
          <w:lang w:val="en"/>
        </w:rPr>
      </w:pPr>
      <w:r w:rsidRPr="006908B2">
        <w:rPr>
          <w:lang w:val="en"/>
        </w:rPr>
        <w:t>4440</w:t>
      </w:r>
      <w:bookmarkStart w:id="1" w:name="LPPH_4440"/>
      <w:bookmarkEnd w:id="1"/>
      <w:r w:rsidRPr="006908B2">
        <w:rPr>
          <w:lang w:val="en"/>
        </w:rPr>
        <w:t xml:space="preserve"> </w:t>
      </w:r>
      <w:r>
        <w:rPr>
          <w:lang w:val="en"/>
        </w:rPr>
        <w:t>Enforcement Team Conferences</w:t>
      </w:r>
      <w:bookmarkEnd w:id="0"/>
    </w:p>
    <w:p w:rsidR="00350206" w:rsidRDefault="00350206" w:rsidP="00350206">
      <w:pPr>
        <w:pStyle w:val="Heading4"/>
      </w:pPr>
      <w:bookmarkStart w:id="2" w:name="_Toc425492094"/>
      <w:r>
        <w:t xml:space="preserve">4441 Enforcement Team Conferences for Child-Placing Agencies, </w:t>
      </w:r>
      <w:r w:rsidRPr="00FA28EE">
        <w:rPr>
          <w:highlight w:val="yellow"/>
        </w:rPr>
        <w:t>General Residential Operations</w:t>
      </w:r>
      <w:r>
        <w:t>, and Residential Treatment Centers</w:t>
      </w:r>
      <w:bookmarkEnd w:id="2"/>
    </w:p>
    <w:p w:rsidR="00621571" w:rsidRPr="00621571" w:rsidRDefault="00621571" w:rsidP="00621571">
      <w:pPr>
        <w:pStyle w:val="revisionnodfps"/>
        <w:rPr>
          <w:lang w:val="en"/>
        </w:rPr>
      </w:pPr>
      <w:r w:rsidRPr="00621571">
        <w:rPr>
          <w:lang w:val="en"/>
        </w:rPr>
        <w:t xml:space="preserve">LPPH </w:t>
      </w:r>
      <w:r w:rsidRPr="00621571">
        <w:rPr>
          <w:strike/>
          <w:color w:val="FF0000"/>
          <w:lang w:val="en"/>
        </w:rPr>
        <w:t>July 2012</w:t>
      </w:r>
      <w:r>
        <w:rPr>
          <w:lang w:val="en"/>
        </w:rPr>
        <w:t xml:space="preserve"> DRAFT 8277-CCL (title is revised)</w:t>
      </w:r>
    </w:p>
    <w:p w:rsidR="00350206" w:rsidRDefault="00350206" w:rsidP="00691058">
      <w:pPr>
        <w:pStyle w:val="violettagdfps"/>
      </w:pPr>
      <w:r>
        <w:t>Policy</w:t>
      </w:r>
    </w:p>
    <w:p w:rsidR="00350206" w:rsidRDefault="00350206" w:rsidP="00691058">
      <w:pPr>
        <w:pStyle w:val="bodytextdfps"/>
      </w:pPr>
      <w:r>
        <w:t xml:space="preserve">Licensing staff conduct at least one annual enforcement team conference for each child-placing agency (CPA), </w:t>
      </w:r>
      <w:r w:rsidRPr="00FA28EE">
        <w:rPr>
          <w:highlight w:val="yellow"/>
        </w:rPr>
        <w:t>general residential operation (GRO)</w:t>
      </w:r>
      <w:r>
        <w:t xml:space="preserve">, or GRO that is licensed to provide services as a residential treatment center (RTC), even if the CPA, </w:t>
      </w:r>
      <w:r w:rsidRPr="00FA28EE">
        <w:rPr>
          <w:highlight w:val="yellow"/>
        </w:rPr>
        <w:t>GRO</w:t>
      </w:r>
      <w:r>
        <w:t>, or RTC is on voluntary suspension. These conferences are a part of Licensing</w:t>
      </w:r>
      <w:r w:rsidR="00691058">
        <w:t>’</w:t>
      </w:r>
      <w:r>
        <w:t xml:space="preserve">s effort to monitor and enforce </w:t>
      </w:r>
      <w:r w:rsidR="006C4356">
        <w:t xml:space="preserve">these operations’ </w:t>
      </w:r>
      <w:r>
        <w:t>compliance with law, administrative rules, and minimum standards.</w:t>
      </w:r>
    </w:p>
    <w:p w:rsidR="00350206" w:rsidRDefault="00350206" w:rsidP="00691058">
      <w:pPr>
        <w:pStyle w:val="bodytextdfps"/>
      </w:pPr>
      <w:r>
        <w:t xml:space="preserve">During an enforcement team conference Licensing staff conducts a comprehensive assessment of the </w:t>
      </w:r>
      <w:r w:rsidR="006C4356">
        <w:t xml:space="preserve">operation </w:t>
      </w:r>
      <w:r>
        <w:t>by thoroughly reviewing information from inspections and investigations that Licensing has conducted.</w:t>
      </w:r>
    </w:p>
    <w:p w:rsidR="00350206" w:rsidRDefault="00350206" w:rsidP="00691058">
      <w:pPr>
        <w:pStyle w:val="bodytextdfps"/>
      </w:pPr>
      <w:r>
        <w:t>The conference may be conducted by phone as a conference call or as a face-to-face meeting.</w:t>
      </w:r>
    </w:p>
    <w:p w:rsidR="00350206" w:rsidRDefault="00350206" w:rsidP="00691058">
      <w:pPr>
        <w:pStyle w:val="bodytextcitationdfps"/>
      </w:pPr>
      <w:r>
        <w:t>T</w:t>
      </w:r>
      <w:r w:rsidR="00691058">
        <w:t xml:space="preserve">exas Human Resources Code (HRC) </w:t>
      </w:r>
      <w:r w:rsidRPr="0000574E">
        <w:t>§</w:t>
      </w:r>
      <w:hyperlink r:id="rId8" w:anchor="42.044" w:history="1">
        <w:r w:rsidRPr="00691058">
          <w:rPr>
            <w:rStyle w:val="Hyperlink"/>
          </w:rPr>
          <w:t>42.044(e</w:t>
        </w:r>
        <w:proofErr w:type="gramStart"/>
        <w:r w:rsidRPr="00691058">
          <w:rPr>
            <w:rStyle w:val="Hyperlink"/>
          </w:rPr>
          <w:t>)(</w:t>
        </w:r>
        <w:proofErr w:type="gramEnd"/>
        <w:r w:rsidRPr="00691058">
          <w:rPr>
            <w:rStyle w:val="Hyperlink"/>
          </w:rPr>
          <w:t>4)</w:t>
        </w:r>
      </w:hyperlink>
    </w:p>
    <w:p w:rsidR="00350206" w:rsidRDefault="00350206" w:rsidP="00621571">
      <w:pPr>
        <w:pStyle w:val="Heading5"/>
      </w:pPr>
      <w:bookmarkStart w:id="3" w:name="_Toc425492095"/>
      <w:r>
        <w:t>4441.1</w:t>
      </w:r>
      <w:bookmarkStart w:id="4" w:name="LPPH_4441_1"/>
      <w:bookmarkEnd w:id="4"/>
      <w:r w:rsidR="00621571">
        <w:rPr>
          <w:rStyle w:val="apple-converted-space"/>
          <w:rFonts w:ascii="Helvetica" w:hAnsi="Helvetica" w:cs="Helvetica"/>
          <w:color w:val="000000"/>
          <w:sz w:val="25"/>
          <w:szCs w:val="25"/>
        </w:rPr>
        <w:t xml:space="preserve"> </w:t>
      </w:r>
      <w:r>
        <w:t>Frequency of Enforcement Team Conferences for a CPA, GRO, or RTC</w:t>
      </w:r>
      <w:bookmarkEnd w:id="3"/>
    </w:p>
    <w:p w:rsidR="00621571" w:rsidRPr="00621571" w:rsidRDefault="00621571" w:rsidP="00621571">
      <w:pPr>
        <w:pStyle w:val="revisionnodfps"/>
        <w:rPr>
          <w:lang w:val="en"/>
        </w:rPr>
      </w:pPr>
      <w:r w:rsidRPr="00621571">
        <w:rPr>
          <w:lang w:val="en"/>
        </w:rPr>
        <w:t xml:space="preserve">LPPH </w:t>
      </w:r>
      <w:r w:rsidRPr="00621571">
        <w:rPr>
          <w:strike/>
          <w:color w:val="FF0000"/>
          <w:lang w:val="en"/>
        </w:rPr>
        <w:t>July 2012</w:t>
      </w:r>
      <w:r>
        <w:rPr>
          <w:lang w:val="en"/>
        </w:rPr>
        <w:t xml:space="preserve"> DRAFT 8277-CCL (title is revised)</w:t>
      </w:r>
    </w:p>
    <w:p w:rsidR="00350206" w:rsidRDefault="00350206" w:rsidP="00691058">
      <w:pPr>
        <w:pStyle w:val="violettagdfps"/>
      </w:pPr>
      <w:r>
        <w:t>Procedure</w:t>
      </w:r>
    </w:p>
    <w:p w:rsidR="00350206" w:rsidRDefault="00350206" w:rsidP="00691058">
      <w:pPr>
        <w:pStyle w:val="bodytextdfps"/>
      </w:pPr>
      <w:r>
        <w:t>The monitoring supervisor is responsible for ensuring that the enforcement team conference is conducted annually.</w:t>
      </w:r>
    </w:p>
    <w:p w:rsidR="00350206" w:rsidRDefault="00350206" w:rsidP="00691058">
      <w:pPr>
        <w:pStyle w:val="bodytextdfps"/>
      </w:pPr>
      <w:r>
        <w:t>The conference is conducted within the same calendar month as the issuance date of the CPA</w:t>
      </w:r>
      <w:r w:rsidR="00691058">
        <w:t>’</w:t>
      </w:r>
      <w:r>
        <w:t xml:space="preserve">s, </w:t>
      </w:r>
      <w:r w:rsidRPr="00FA28EE">
        <w:rPr>
          <w:highlight w:val="yellow"/>
        </w:rPr>
        <w:t>GRO</w:t>
      </w:r>
      <w:r w:rsidR="00691058" w:rsidRPr="00FA28EE">
        <w:rPr>
          <w:highlight w:val="yellow"/>
        </w:rPr>
        <w:t>’</w:t>
      </w:r>
      <w:r w:rsidRPr="00FA28EE">
        <w:rPr>
          <w:highlight w:val="yellow"/>
        </w:rPr>
        <w:t>s</w:t>
      </w:r>
      <w:r>
        <w:t>, or RTC</w:t>
      </w:r>
      <w:r w:rsidR="00691058">
        <w:t>’</w:t>
      </w:r>
      <w:r>
        <w:t>s full license.</w:t>
      </w:r>
    </w:p>
    <w:p w:rsidR="00350206" w:rsidRPr="00493674" w:rsidRDefault="00350206" w:rsidP="00621571">
      <w:pPr>
        <w:pStyle w:val="Heading5"/>
      </w:pPr>
      <w:bookmarkStart w:id="5" w:name="_Toc425492096"/>
      <w:r>
        <w:lastRenderedPageBreak/>
        <w:t>4441.2</w:t>
      </w:r>
      <w:r w:rsidR="00621571">
        <w:t xml:space="preserve"> </w:t>
      </w:r>
      <w:r>
        <w:t xml:space="preserve">Documenting </w:t>
      </w:r>
      <w:r w:rsidRPr="00493674">
        <w:t>Enforc</w:t>
      </w:r>
      <w:r>
        <w:t>ement Team Conferences for a CPA, GRO, or RTC</w:t>
      </w:r>
      <w:bookmarkEnd w:id="5"/>
    </w:p>
    <w:p w:rsidR="00621571" w:rsidRPr="00621571" w:rsidRDefault="00621571" w:rsidP="00621571">
      <w:pPr>
        <w:pStyle w:val="revisionnodfps"/>
        <w:rPr>
          <w:lang w:val="en"/>
        </w:rPr>
      </w:pPr>
      <w:r w:rsidRPr="00621571">
        <w:rPr>
          <w:lang w:val="en"/>
        </w:rPr>
        <w:t xml:space="preserve">LPPH </w:t>
      </w:r>
      <w:r w:rsidRPr="00621571">
        <w:rPr>
          <w:strike/>
          <w:color w:val="FF0000"/>
          <w:lang w:val="en"/>
        </w:rPr>
        <w:t>July 2012</w:t>
      </w:r>
      <w:r>
        <w:rPr>
          <w:lang w:val="en"/>
        </w:rPr>
        <w:t xml:space="preserve"> DRAFT 8277-CCL (title and content completely revised)</w:t>
      </w:r>
    </w:p>
    <w:p w:rsidR="00350206" w:rsidRDefault="00350206" w:rsidP="00691058">
      <w:pPr>
        <w:pStyle w:val="violettagdfps"/>
      </w:pPr>
      <w:r w:rsidRPr="00493674">
        <w:t>Procedure</w:t>
      </w:r>
    </w:p>
    <w:p w:rsidR="00350206" w:rsidRDefault="00350206" w:rsidP="00691058">
      <w:pPr>
        <w:pStyle w:val="bodytextdfps"/>
      </w:pPr>
      <w:r>
        <w:t xml:space="preserve">Licensing staff complete the </w:t>
      </w:r>
      <w:r w:rsidR="00E4115D">
        <w:t xml:space="preserve">appropriate </w:t>
      </w:r>
      <w:r>
        <w:t xml:space="preserve">Enforcement Team Pre-Conference Synopsis before the enforcement team conference </w:t>
      </w:r>
      <w:r w:rsidRPr="00FA28EE">
        <w:rPr>
          <w:highlight w:val="yellow"/>
        </w:rPr>
        <w:t>by following the instructions in the</w:t>
      </w:r>
      <w:r w:rsidR="00E4115D" w:rsidRPr="00FA28EE">
        <w:rPr>
          <w:highlight w:val="yellow"/>
        </w:rPr>
        <w:t xml:space="preserve"> corresponding</w:t>
      </w:r>
      <w:r w:rsidRPr="00FA28EE">
        <w:rPr>
          <w:highlight w:val="yellow"/>
        </w:rPr>
        <w:t xml:space="preserve"> Enforcement Team Pre-Conference Manual.</w:t>
      </w:r>
      <w:r>
        <w:t xml:space="preserve"> </w:t>
      </w:r>
    </w:p>
    <w:p w:rsidR="009B28D3" w:rsidRPr="00FA28EE" w:rsidRDefault="009B3AAF" w:rsidP="00691058">
      <w:pPr>
        <w:pStyle w:val="bodytextdfps"/>
        <w:rPr>
          <w:highlight w:val="yellow"/>
        </w:rPr>
      </w:pPr>
      <w:r w:rsidRPr="00FA28EE">
        <w:rPr>
          <w:highlight w:val="yellow"/>
        </w:rPr>
        <w:t>See</w:t>
      </w:r>
      <w:r w:rsidR="00F33B23" w:rsidRPr="00FA28EE">
        <w:rPr>
          <w:highlight w:val="yellow"/>
        </w:rPr>
        <w:t>:</w:t>
      </w:r>
    </w:p>
    <w:p w:rsidR="00F33B23" w:rsidRPr="00FA28EE" w:rsidRDefault="00F33B23" w:rsidP="002B1F61">
      <w:pPr>
        <w:pStyle w:val="list2dfps"/>
        <w:rPr>
          <w:highlight w:val="yellow"/>
        </w:rPr>
      </w:pPr>
      <w:bookmarkStart w:id="6" w:name="LPPH_4441_2"/>
      <w:bookmarkStart w:id="7" w:name="LPPH_4441_3"/>
      <w:bookmarkStart w:id="8" w:name="LPPH_4441_31"/>
      <w:bookmarkStart w:id="9" w:name="LPPH_4441_32"/>
      <w:bookmarkStart w:id="10" w:name="LPPH_4441_33"/>
      <w:bookmarkEnd w:id="6"/>
      <w:bookmarkEnd w:id="7"/>
      <w:bookmarkEnd w:id="8"/>
      <w:bookmarkEnd w:id="9"/>
      <w:bookmarkEnd w:id="10"/>
      <w:r w:rsidRPr="00FA28EE">
        <w:rPr>
          <w:highlight w:val="yellow"/>
        </w:rPr>
        <w:t>CPA:</w:t>
      </w:r>
    </w:p>
    <w:p w:rsidR="00B63A4E" w:rsidRPr="00FA28EE" w:rsidRDefault="00E4115D" w:rsidP="002B1F61">
      <w:pPr>
        <w:pStyle w:val="list3dfps"/>
        <w:rPr>
          <w:highlight w:val="yellow"/>
        </w:rPr>
      </w:pPr>
      <w:r w:rsidRPr="00FA28EE">
        <w:rPr>
          <w:highlight w:val="yellow"/>
        </w:rPr>
        <w:t>Form 2534 CPA Enforcement Team Pre-Conference Synopsis</w:t>
      </w:r>
    </w:p>
    <w:p w:rsidR="00E4115D" w:rsidRPr="00FA28EE" w:rsidRDefault="00E4115D" w:rsidP="002B1F61">
      <w:pPr>
        <w:pStyle w:val="list3dfps"/>
        <w:rPr>
          <w:highlight w:val="yellow"/>
        </w:rPr>
      </w:pPr>
      <w:r w:rsidRPr="00FA28EE">
        <w:rPr>
          <w:highlight w:val="yellow"/>
        </w:rPr>
        <w:t>Form 2534i CPA Enforcement Team Pre-Conference Synopsis Manual</w:t>
      </w:r>
    </w:p>
    <w:p w:rsidR="00E4115D" w:rsidRPr="00FA28EE" w:rsidRDefault="00F33B23" w:rsidP="002B1F61">
      <w:pPr>
        <w:pStyle w:val="list2dfps"/>
        <w:rPr>
          <w:highlight w:val="yellow"/>
        </w:rPr>
      </w:pPr>
      <w:r w:rsidRPr="00FA28EE">
        <w:rPr>
          <w:highlight w:val="yellow"/>
        </w:rPr>
        <w:t>GRO:</w:t>
      </w:r>
    </w:p>
    <w:p w:rsidR="00E4115D" w:rsidRPr="00FA28EE" w:rsidRDefault="00E4115D" w:rsidP="002B1F61">
      <w:pPr>
        <w:pStyle w:val="list3dfps"/>
        <w:rPr>
          <w:highlight w:val="yellow"/>
        </w:rPr>
      </w:pPr>
      <w:r w:rsidRPr="00FA28EE">
        <w:rPr>
          <w:highlight w:val="yellow"/>
        </w:rPr>
        <w:t>Form 2535 GRO Enforcement Team Pre-Conference Synopsis</w:t>
      </w:r>
    </w:p>
    <w:p w:rsidR="00E4115D" w:rsidRPr="00FA28EE" w:rsidRDefault="00E4115D" w:rsidP="002B1F61">
      <w:pPr>
        <w:pStyle w:val="list3dfps"/>
        <w:rPr>
          <w:highlight w:val="yellow"/>
        </w:rPr>
      </w:pPr>
      <w:r w:rsidRPr="00FA28EE">
        <w:rPr>
          <w:highlight w:val="yellow"/>
        </w:rPr>
        <w:t>Form 2535i GRO Enforcement Team Pre-Conference Synopsis Manual</w:t>
      </w:r>
    </w:p>
    <w:p w:rsidR="00E4115D" w:rsidRPr="00FA28EE" w:rsidRDefault="00F33B23" w:rsidP="002B1F61">
      <w:pPr>
        <w:pStyle w:val="list2dfps"/>
        <w:rPr>
          <w:highlight w:val="yellow"/>
        </w:rPr>
      </w:pPr>
      <w:r w:rsidRPr="00FA28EE">
        <w:rPr>
          <w:highlight w:val="yellow"/>
        </w:rPr>
        <w:t>RTC:</w:t>
      </w:r>
    </w:p>
    <w:p w:rsidR="00E4115D" w:rsidRPr="00FA28EE" w:rsidRDefault="00E4115D" w:rsidP="002B1F61">
      <w:pPr>
        <w:pStyle w:val="list3dfps"/>
        <w:rPr>
          <w:highlight w:val="yellow"/>
        </w:rPr>
      </w:pPr>
      <w:r w:rsidRPr="00FA28EE">
        <w:rPr>
          <w:highlight w:val="yellow"/>
        </w:rPr>
        <w:t>Form 2536 RTC Enforcement Team Pre-Conference Synopsis</w:t>
      </w:r>
    </w:p>
    <w:p w:rsidR="00F33B23" w:rsidRDefault="00E4115D" w:rsidP="00F97306">
      <w:pPr>
        <w:pStyle w:val="list3dfps"/>
      </w:pPr>
      <w:r w:rsidRPr="00FA28EE">
        <w:rPr>
          <w:highlight w:val="yellow"/>
        </w:rPr>
        <w:t>Form 2536i RTC Enforcement Team Pre-Conference Synopsis Manual</w:t>
      </w:r>
      <w:bookmarkStart w:id="11" w:name="_GoBack"/>
      <w:bookmarkEnd w:id="11"/>
    </w:p>
    <w:sectPr w:rsidR="00F33B23">
      <w:headerReference w:type="even" r:id="rId9"/>
      <w:headerReference w:type="default" r:id="rId10"/>
      <w:footerReference w:type="even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350206">
    <w:pPr>
      <w:pStyle w:val="headerdfps"/>
    </w:pPr>
    <w:r w:rsidRPr="00350206">
      <w:t>8277-CCL Enforcement Team Conferences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F97306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144783"/>
    <w:rsid w:val="001661C0"/>
    <w:rsid w:val="001D40C2"/>
    <w:rsid w:val="001F5597"/>
    <w:rsid w:val="00200224"/>
    <w:rsid w:val="00280A5E"/>
    <w:rsid w:val="002B1F61"/>
    <w:rsid w:val="00304067"/>
    <w:rsid w:val="00310F52"/>
    <w:rsid w:val="0033516B"/>
    <w:rsid w:val="00350206"/>
    <w:rsid w:val="0045040E"/>
    <w:rsid w:val="00464014"/>
    <w:rsid w:val="00483EF1"/>
    <w:rsid w:val="004D18E5"/>
    <w:rsid w:val="004E6503"/>
    <w:rsid w:val="00563F49"/>
    <w:rsid w:val="005A2260"/>
    <w:rsid w:val="005F1232"/>
    <w:rsid w:val="00621571"/>
    <w:rsid w:val="00691058"/>
    <w:rsid w:val="006A7717"/>
    <w:rsid w:val="006C4356"/>
    <w:rsid w:val="006C7437"/>
    <w:rsid w:val="00702939"/>
    <w:rsid w:val="007146E9"/>
    <w:rsid w:val="007213B6"/>
    <w:rsid w:val="009B28D3"/>
    <w:rsid w:val="009B3AAF"/>
    <w:rsid w:val="009D3308"/>
    <w:rsid w:val="00A02BFD"/>
    <w:rsid w:val="00A053A7"/>
    <w:rsid w:val="00A64CC6"/>
    <w:rsid w:val="00AB4F13"/>
    <w:rsid w:val="00B170E6"/>
    <w:rsid w:val="00B63A4E"/>
    <w:rsid w:val="00BE26E6"/>
    <w:rsid w:val="00C7404F"/>
    <w:rsid w:val="00C97844"/>
    <w:rsid w:val="00D75CAB"/>
    <w:rsid w:val="00E001CC"/>
    <w:rsid w:val="00E4115D"/>
    <w:rsid w:val="00EB6D2E"/>
    <w:rsid w:val="00F03E38"/>
    <w:rsid w:val="00F33B23"/>
    <w:rsid w:val="00F97306"/>
    <w:rsid w:val="00FA28EE"/>
    <w:rsid w:val="00FB063C"/>
    <w:rsid w:val="00FC679B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1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661C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661C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661C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1661C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link w:val="Heading5Char"/>
    <w:qFormat/>
    <w:rsid w:val="001661C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661C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661C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661C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661C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661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61C0"/>
  </w:style>
  <w:style w:type="paragraph" w:customStyle="1" w:styleId="bodytextdfps">
    <w:name w:val="bodytextdfps"/>
    <w:basedOn w:val="Normal"/>
    <w:link w:val="bodytextdfpsChar"/>
    <w:qFormat/>
    <w:rsid w:val="001661C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661C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661C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661C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661C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661C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661C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661C0"/>
    <w:rPr>
      <w:b w:val="0"/>
    </w:rPr>
  </w:style>
  <w:style w:type="paragraph" w:customStyle="1" w:styleId="subheading2dfps">
    <w:name w:val="subheading2dfps"/>
    <w:basedOn w:val="subheading1dfps"/>
    <w:next w:val="bodytextdfps"/>
    <w:rsid w:val="001661C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661C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661C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661C0"/>
    <w:rPr>
      <w:i/>
      <w:iCs/>
    </w:rPr>
  </w:style>
  <w:style w:type="paragraph" w:customStyle="1" w:styleId="list1dfps">
    <w:name w:val="list1dfps"/>
    <w:basedOn w:val="bodytextdfps"/>
    <w:rsid w:val="001661C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661C0"/>
    <w:pPr>
      <w:ind w:left="2160"/>
    </w:pPr>
  </w:style>
  <w:style w:type="paragraph" w:customStyle="1" w:styleId="list3dfps">
    <w:name w:val="list3dfps"/>
    <w:basedOn w:val="list2dfps"/>
    <w:rsid w:val="001661C0"/>
    <w:pPr>
      <w:ind w:left="2520"/>
    </w:pPr>
  </w:style>
  <w:style w:type="paragraph" w:customStyle="1" w:styleId="list4dfps">
    <w:name w:val="list4dfps"/>
    <w:basedOn w:val="list3dfps"/>
    <w:rsid w:val="001661C0"/>
    <w:pPr>
      <w:ind w:left="2880"/>
    </w:pPr>
  </w:style>
  <w:style w:type="paragraph" w:customStyle="1" w:styleId="list5dfps">
    <w:name w:val="list5dfps"/>
    <w:basedOn w:val="list4dfps"/>
    <w:rsid w:val="001661C0"/>
    <w:pPr>
      <w:ind w:left="3240"/>
    </w:pPr>
  </w:style>
  <w:style w:type="paragraph" w:customStyle="1" w:styleId="list6dfps">
    <w:name w:val="list6dfps"/>
    <w:basedOn w:val="list5dfps"/>
    <w:rsid w:val="001661C0"/>
    <w:pPr>
      <w:ind w:left="3600"/>
    </w:pPr>
  </w:style>
  <w:style w:type="paragraph" w:customStyle="1" w:styleId="bqlistadfps">
    <w:name w:val="bqlistadfps"/>
    <w:basedOn w:val="bqblockquotetextdfps"/>
    <w:rsid w:val="001661C0"/>
    <w:pPr>
      <w:ind w:left="2520" w:hanging="360"/>
    </w:pPr>
  </w:style>
  <w:style w:type="paragraph" w:customStyle="1" w:styleId="bqlistbdfps">
    <w:name w:val="bqlistbdfps"/>
    <w:basedOn w:val="bqlistadfps"/>
    <w:rsid w:val="001661C0"/>
    <w:pPr>
      <w:ind w:left="2880"/>
    </w:pPr>
  </w:style>
  <w:style w:type="paragraph" w:customStyle="1" w:styleId="bqlistcdfps">
    <w:name w:val="bqlistcdfps"/>
    <w:basedOn w:val="bqlistbdfps"/>
    <w:rsid w:val="001661C0"/>
    <w:pPr>
      <w:ind w:left="3240"/>
    </w:pPr>
  </w:style>
  <w:style w:type="character" w:styleId="PageNumber">
    <w:name w:val="page number"/>
    <w:rsid w:val="001661C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661C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1661C0"/>
    <w:pPr>
      <w:ind w:left="1800"/>
    </w:pPr>
  </w:style>
  <w:style w:type="paragraph" w:styleId="TOC4">
    <w:name w:val="toc 4"/>
    <w:basedOn w:val="TOC3"/>
    <w:next w:val="Normal"/>
    <w:autoRedefine/>
    <w:rsid w:val="001661C0"/>
    <w:pPr>
      <w:ind w:left="2160"/>
    </w:pPr>
  </w:style>
  <w:style w:type="paragraph" w:styleId="TOC5">
    <w:name w:val="toc 5"/>
    <w:basedOn w:val="TOC4"/>
    <w:next w:val="Normal"/>
    <w:autoRedefine/>
    <w:rsid w:val="001661C0"/>
    <w:pPr>
      <w:ind w:left="2520"/>
    </w:pPr>
  </w:style>
  <w:style w:type="paragraph" w:styleId="TOC6">
    <w:name w:val="toc 6"/>
    <w:basedOn w:val="TOC5"/>
    <w:next w:val="Normal"/>
    <w:autoRedefine/>
    <w:semiHidden/>
    <w:rsid w:val="001661C0"/>
    <w:pPr>
      <w:ind w:left="2880"/>
    </w:pPr>
  </w:style>
  <w:style w:type="paragraph" w:styleId="TOC7">
    <w:name w:val="toc 7"/>
    <w:basedOn w:val="TOC6"/>
    <w:next w:val="Normal"/>
    <w:autoRedefine/>
    <w:semiHidden/>
    <w:rsid w:val="001661C0"/>
    <w:pPr>
      <w:ind w:left="3240"/>
    </w:pPr>
  </w:style>
  <w:style w:type="paragraph" w:styleId="TOC8">
    <w:name w:val="toc 8"/>
    <w:basedOn w:val="TOC7"/>
    <w:next w:val="Normal"/>
    <w:autoRedefine/>
    <w:semiHidden/>
    <w:rsid w:val="001661C0"/>
    <w:pPr>
      <w:ind w:left="3600"/>
    </w:pPr>
  </w:style>
  <w:style w:type="paragraph" w:styleId="TOC9">
    <w:name w:val="toc 9"/>
    <w:basedOn w:val="TOC8"/>
    <w:next w:val="Normal"/>
    <w:autoRedefine/>
    <w:semiHidden/>
    <w:rsid w:val="001661C0"/>
    <w:pPr>
      <w:ind w:left="3960"/>
    </w:pPr>
  </w:style>
  <w:style w:type="paragraph" w:customStyle="1" w:styleId="querydfps">
    <w:name w:val="querydfps"/>
    <w:basedOn w:val="subheading1dfps"/>
    <w:rsid w:val="001661C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661C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661C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661C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661C0"/>
    <w:pPr>
      <w:ind w:left="720"/>
    </w:pPr>
  </w:style>
  <w:style w:type="paragraph" w:customStyle="1" w:styleId="violettaglpph">
    <w:name w:val="violettaglpph"/>
    <w:basedOn w:val="violettagdfps"/>
    <w:rsid w:val="001661C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50206"/>
    <w:rPr>
      <w:rFonts w:ascii="Arial" w:hAnsi="Arial" w:cs="Arial"/>
      <w:b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350206"/>
    <w:rPr>
      <w:rFonts w:ascii="Arial" w:hAnsi="Arial" w:cs="Arial"/>
      <w:b/>
      <w:bCs/>
      <w:iCs/>
      <w:kern w:val="28"/>
      <w:sz w:val="24"/>
      <w:szCs w:val="26"/>
    </w:rPr>
  </w:style>
  <w:style w:type="character" w:customStyle="1" w:styleId="apple-converted-space">
    <w:name w:val="apple-converted-space"/>
    <w:basedOn w:val="DefaultParagraphFont"/>
    <w:rsid w:val="00350206"/>
  </w:style>
  <w:style w:type="character" w:styleId="Hyperlink">
    <w:name w:val="Hyperlink"/>
    <w:basedOn w:val="DefaultParagraphFont"/>
    <w:uiPriority w:val="99"/>
    <w:unhideWhenUsed/>
    <w:rsid w:val="00621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1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661C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661C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661C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1661C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link w:val="Heading5Char"/>
    <w:qFormat/>
    <w:rsid w:val="001661C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661C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661C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661C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661C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661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61C0"/>
  </w:style>
  <w:style w:type="paragraph" w:customStyle="1" w:styleId="bodytextdfps">
    <w:name w:val="bodytextdfps"/>
    <w:basedOn w:val="Normal"/>
    <w:link w:val="bodytextdfpsChar"/>
    <w:qFormat/>
    <w:rsid w:val="001661C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661C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661C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661C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661C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661C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661C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661C0"/>
    <w:rPr>
      <w:b w:val="0"/>
    </w:rPr>
  </w:style>
  <w:style w:type="paragraph" w:customStyle="1" w:styleId="subheading2dfps">
    <w:name w:val="subheading2dfps"/>
    <w:basedOn w:val="subheading1dfps"/>
    <w:next w:val="bodytextdfps"/>
    <w:rsid w:val="001661C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661C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661C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661C0"/>
    <w:rPr>
      <w:i/>
      <w:iCs/>
    </w:rPr>
  </w:style>
  <w:style w:type="paragraph" w:customStyle="1" w:styleId="list1dfps">
    <w:name w:val="list1dfps"/>
    <w:basedOn w:val="bodytextdfps"/>
    <w:rsid w:val="001661C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661C0"/>
    <w:pPr>
      <w:ind w:left="2160"/>
    </w:pPr>
  </w:style>
  <w:style w:type="paragraph" w:customStyle="1" w:styleId="list3dfps">
    <w:name w:val="list3dfps"/>
    <w:basedOn w:val="list2dfps"/>
    <w:rsid w:val="001661C0"/>
    <w:pPr>
      <w:ind w:left="2520"/>
    </w:pPr>
  </w:style>
  <w:style w:type="paragraph" w:customStyle="1" w:styleId="list4dfps">
    <w:name w:val="list4dfps"/>
    <w:basedOn w:val="list3dfps"/>
    <w:rsid w:val="001661C0"/>
    <w:pPr>
      <w:ind w:left="2880"/>
    </w:pPr>
  </w:style>
  <w:style w:type="paragraph" w:customStyle="1" w:styleId="list5dfps">
    <w:name w:val="list5dfps"/>
    <w:basedOn w:val="list4dfps"/>
    <w:rsid w:val="001661C0"/>
    <w:pPr>
      <w:ind w:left="3240"/>
    </w:pPr>
  </w:style>
  <w:style w:type="paragraph" w:customStyle="1" w:styleId="list6dfps">
    <w:name w:val="list6dfps"/>
    <w:basedOn w:val="list5dfps"/>
    <w:rsid w:val="001661C0"/>
    <w:pPr>
      <w:ind w:left="3600"/>
    </w:pPr>
  </w:style>
  <w:style w:type="paragraph" w:customStyle="1" w:styleId="bqlistadfps">
    <w:name w:val="bqlistadfps"/>
    <w:basedOn w:val="bqblockquotetextdfps"/>
    <w:rsid w:val="001661C0"/>
    <w:pPr>
      <w:ind w:left="2520" w:hanging="360"/>
    </w:pPr>
  </w:style>
  <w:style w:type="paragraph" w:customStyle="1" w:styleId="bqlistbdfps">
    <w:name w:val="bqlistbdfps"/>
    <w:basedOn w:val="bqlistadfps"/>
    <w:rsid w:val="001661C0"/>
    <w:pPr>
      <w:ind w:left="2880"/>
    </w:pPr>
  </w:style>
  <w:style w:type="paragraph" w:customStyle="1" w:styleId="bqlistcdfps">
    <w:name w:val="bqlistcdfps"/>
    <w:basedOn w:val="bqlistbdfps"/>
    <w:rsid w:val="001661C0"/>
    <w:pPr>
      <w:ind w:left="3240"/>
    </w:pPr>
  </w:style>
  <w:style w:type="character" w:styleId="PageNumber">
    <w:name w:val="page number"/>
    <w:rsid w:val="001661C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661C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1661C0"/>
    <w:pPr>
      <w:ind w:left="1800"/>
    </w:pPr>
  </w:style>
  <w:style w:type="paragraph" w:styleId="TOC4">
    <w:name w:val="toc 4"/>
    <w:basedOn w:val="TOC3"/>
    <w:next w:val="Normal"/>
    <w:autoRedefine/>
    <w:rsid w:val="001661C0"/>
    <w:pPr>
      <w:ind w:left="2160"/>
    </w:pPr>
  </w:style>
  <w:style w:type="paragraph" w:styleId="TOC5">
    <w:name w:val="toc 5"/>
    <w:basedOn w:val="TOC4"/>
    <w:next w:val="Normal"/>
    <w:autoRedefine/>
    <w:rsid w:val="001661C0"/>
    <w:pPr>
      <w:ind w:left="2520"/>
    </w:pPr>
  </w:style>
  <w:style w:type="paragraph" w:styleId="TOC6">
    <w:name w:val="toc 6"/>
    <w:basedOn w:val="TOC5"/>
    <w:next w:val="Normal"/>
    <w:autoRedefine/>
    <w:semiHidden/>
    <w:rsid w:val="001661C0"/>
    <w:pPr>
      <w:ind w:left="2880"/>
    </w:pPr>
  </w:style>
  <w:style w:type="paragraph" w:styleId="TOC7">
    <w:name w:val="toc 7"/>
    <w:basedOn w:val="TOC6"/>
    <w:next w:val="Normal"/>
    <w:autoRedefine/>
    <w:semiHidden/>
    <w:rsid w:val="001661C0"/>
    <w:pPr>
      <w:ind w:left="3240"/>
    </w:pPr>
  </w:style>
  <w:style w:type="paragraph" w:styleId="TOC8">
    <w:name w:val="toc 8"/>
    <w:basedOn w:val="TOC7"/>
    <w:next w:val="Normal"/>
    <w:autoRedefine/>
    <w:semiHidden/>
    <w:rsid w:val="001661C0"/>
    <w:pPr>
      <w:ind w:left="3600"/>
    </w:pPr>
  </w:style>
  <w:style w:type="paragraph" w:styleId="TOC9">
    <w:name w:val="toc 9"/>
    <w:basedOn w:val="TOC8"/>
    <w:next w:val="Normal"/>
    <w:autoRedefine/>
    <w:semiHidden/>
    <w:rsid w:val="001661C0"/>
    <w:pPr>
      <w:ind w:left="3960"/>
    </w:pPr>
  </w:style>
  <w:style w:type="paragraph" w:customStyle="1" w:styleId="querydfps">
    <w:name w:val="querydfps"/>
    <w:basedOn w:val="subheading1dfps"/>
    <w:rsid w:val="001661C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661C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661C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661C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661C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661C0"/>
    <w:pPr>
      <w:ind w:left="720"/>
    </w:pPr>
  </w:style>
  <w:style w:type="paragraph" w:customStyle="1" w:styleId="violettaglpph">
    <w:name w:val="violettaglpph"/>
    <w:basedOn w:val="violettagdfps"/>
    <w:rsid w:val="001661C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50206"/>
    <w:rPr>
      <w:rFonts w:ascii="Arial" w:hAnsi="Arial" w:cs="Arial"/>
      <w:b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350206"/>
    <w:rPr>
      <w:rFonts w:ascii="Arial" w:hAnsi="Arial" w:cs="Arial"/>
      <w:b/>
      <w:bCs/>
      <w:iCs/>
      <w:kern w:val="28"/>
      <w:sz w:val="24"/>
      <w:szCs w:val="26"/>
    </w:rPr>
  </w:style>
  <w:style w:type="character" w:customStyle="1" w:styleId="apple-converted-space">
    <w:name w:val="apple-converted-space"/>
    <w:basedOn w:val="DefaultParagraphFont"/>
    <w:rsid w:val="00350206"/>
  </w:style>
  <w:style w:type="character" w:styleId="Hyperlink">
    <w:name w:val="Hyperlink"/>
    <w:basedOn w:val="DefaultParagraphFont"/>
    <w:uiPriority w:val="99"/>
    <w:unhideWhenUsed/>
    <w:rsid w:val="00621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HR/htm/HR.4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05DF-B03E-4CC3-BFD1-3C6B2008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6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2000-11-20T14:30:00Z</cp:lastPrinted>
  <dcterms:created xsi:type="dcterms:W3CDTF">2015-08-20T14:57:00Z</dcterms:created>
  <dcterms:modified xsi:type="dcterms:W3CDTF">2015-08-20T14:59:00Z</dcterms:modified>
</cp:coreProperties>
</file>